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10.xml" ContentType="application/vnd.ms-office.chartcolorstyle+xml"/>
  <Override PartName="/word/charts/colors11.xml" ContentType="application/vnd.ms-office.chartcolorstyle+xml"/>
  <Override PartName="/word/charts/colors12.xml" ContentType="application/vnd.ms-office.chartcolorstyle+xml"/>
  <Override PartName="/word/charts/colors13.xml" ContentType="application/vnd.ms-office.chartcolorstyle+xml"/>
  <Override PartName="/word/charts/colors14.xml" ContentType="application/vnd.ms-office.chartcolorstyle+xml"/>
  <Override PartName="/word/charts/colors15.xml" ContentType="application/vnd.ms-office.chartcolorstyle+xml"/>
  <Override PartName="/word/charts/colors16.xml" ContentType="application/vnd.ms-office.chartcolorstyle+xml"/>
  <Override PartName="/word/charts/colors17.xml" ContentType="application/vnd.ms-office.chartcolorstyle+xml"/>
  <Override PartName="/word/charts/colors18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10.xml" ContentType="application/vnd.ms-office.chartstyle+xml"/>
  <Override PartName="/word/charts/style11.xml" ContentType="application/vnd.ms-office.chartstyle+xml"/>
  <Override PartName="/word/charts/style12.xml" ContentType="application/vnd.ms-office.chartstyle+xml"/>
  <Override PartName="/word/charts/style13.xml" ContentType="application/vnd.ms-office.chartstyle+xml"/>
  <Override PartName="/word/charts/style14.xml" ContentType="application/vnd.ms-office.chartstyle+xml"/>
  <Override PartName="/word/charts/style15.xml" ContentType="application/vnd.ms-office.chartstyle+xml"/>
  <Override PartName="/word/charts/style16.xml" ContentType="application/vnd.ms-office.chartstyle+xml"/>
  <Override PartName="/word/charts/style17.xml" ContentType="application/vnd.ms-office.chartstyle+xml"/>
  <Override PartName="/word/charts/style18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firstLine="420" w:firstLineChars="200"/>
        <w:textAlignment w:val="auto"/>
        <w:rPr>
          <w:rFonts w:ascii="仿宋_GB2312" w:hAnsi="黑体" w:eastAsia="仿宋_GB2312"/>
          <w:color w:val="000000"/>
          <w:sz w:val="72"/>
          <w:szCs w:val="72"/>
        </w:rPr>
      </w:pPr>
      <w:bookmarkStart w:id="0" w:name="_Toc2321"/>
      <w:bookmarkEnd w:id="0"/>
      <w:bookmarkStart w:id="1" w:name="_Toc11127"/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297180</wp:posOffset>
            </wp:positionV>
            <wp:extent cx="2286000" cy="733425"/>
            <wp:effectExtent l="0" t="0" r="0" b="3175"/>
            <wp:wrapNone/>
            <wp:docPr id="1" name="图片 2" descr="吉大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吉大标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33425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仿宋_GB2312" w:hAnsi="黑体" w:eastAsia="仿宋_GB2312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firstLine="1446" w:firstLineChars="200"/>
        <w:textAlignment w:val="auto"/>
        <w:rPr>
          <w:rFonts w:ascii="黑体" w:hAnsi="黑体" w:eastAsia="黑体"/>
          <w:b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firstLine="1446" w:firstLineChars="200"/>
        <w:textAlignment w:val="auto"/>
        <w:rPr>
          <w:rFonts w:ascii="黑体" w:hAnsi="黑体" w:eastAsia="黑体"/>
          <w:b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firstLine="1446" w:firstLineChars="200"/>
        <w:textAlignment w:val="auto"/>
        <w:rPr>
          <w:rFonts w:ascii="黑体" w:hAnsi="黑体" w:eastAsia="黑体"/>
          <w:b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ascii="黑体" w:hAnsi="黑体" w:eastAsia="黑体"/>
          <w:b/>
          <w:color w:val="000000"/>
          <w:sz w:val="72"/>
          <w:szCs w:val="72"/>
        </w:rPr>
      </w:pPr>
      <w:r>
        <w:rPr>
          <w:rFonts w:hint="eastAsia" w:ascii="黑体" w:hAnsi="黑体" w:eastAsia="黑体"/>
          <w:b/>
          <w:color w:val="000000"/>
          <w:sz w:val="72"/>
          <w:szCs w:val="72"/>
        </w:rPr>
        <w:t>土木工程与建筑学院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ascii="隶书" w:hAnsi="黑体" w:eastAsia="隶书"/>
          <w:b/>
          <w:bCs/>
          <w:color w:val="000000"/>
          <w:spacing w:val="-6"/>
          <w:w w:val="70"/>
          <w:sz w:val="72"/>
          <w:szCs w:val="72"/>
        </w:rPr>
      </w:pPr>
      <w:r>
        <w:rPr>
          <w:rFonts w:eastAsia="隶书"/>
          <w:b/>
          <w:bCs/>
          <w:color w:val="000000"/>
          <w:spacing w:val="-6"/>
          <w:w w:val="70"/>
          <w:sz w:val="72"/>
          <w:szCs w:val="72"/>
        </w:rPr>
        <w:t>202</w:t>
      </w:r>
      <w:r>
        <w:rPr>
          <w:rFonts w:hint="eastAsia" w:eastAsia="隶书"/>
          <w:b/>
          <w:bCs/>
          <w:color w:val="000000"/>
          <w:spacing w:val="-6"/>
          <w:w w:val="70"/>
          <w:sz w:val="72"/>
          <w:szCs w:val="72"/>
          <w:lang w:val="en-US" w:eastAsia="zh-CN"/>
        </w:rPr>
        <w:t>3</w:t>
      </w:r>
      <w:r>
        <w:rPr>
          <w:rFonts w:hint="eastAsia" w:ascii="隶书" w:hAnsi="黑体" w:eastAsia="隶书"/>
          <w:b/>
          <w:bCs/>
          <w:color w:val="000000"/>
          <w:spacing w:val="-6"/>
          <w:w w:val="70"/>
          <w:sz w:val="72"/>
          <w:szCs w:val="72"/>
        </w:rPr>
        <w:t>届毕业生就业质量年度报告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ascii="隶书" w:hAnsi="黑体" w:eastAsia="隶书"/>
          <w:color w:val="000000"/>
          <w:spacing w:val="-6"/>
          <w:w w:val="70"/>
          <w:sz w:val="90"/>
          <w:szCs w:val="9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ascii="仿宋_GB2312" w:hAnsi="黑体" w:eastAsia="仿宋_GB2312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ascii="仿宋_GB2312" w:hAnsi="黑体" w:eastAsia="仿宋_GB2312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ascii="仿宋_GB2312" w:hAnsi="黑体" w:eastAsia="仿宋_GB2312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ascii="仿宋_GB2312" w:hAnsi="黑体" w:eastAsia="仿宋_GB2312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仿宋_GB2312" w:hAnsi="黑体" w:eastAsia="仿宋_GB2312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ascii="楷体_GB2312" w:hAnsi="黑体" w:eastAsia="楷体_GB2312"/>
          <w:b/>
          <w:color w:val="000000"/>
          <w:sz w:val="44"/>
          <w:szCs w:val="44"/>
        </w:rPr>
      </w:pPr>
      <w:r>
        <w:rPr>
          <w:rFonts w:hint="eastAsia" w:ascii="楷体_GB2312" w:hAnsi="黑体" w:eastAsia="楷体_GB2312"/>
          <w:b/>
          <w:color w:val="000000"/>
          <w:sz w:val="44"/>
          <w:szCs w:val="44"/>
        </w:rPr>
        <w:t>202</w:t>
      </w:r>
      <w:r>
        <w:rPr>
          <w:rFonts w:hint="eastAsia" w:ascii="楷体_GB2312" w:hAnsi="黑体" w:eastAsia="楷体_GB2312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楷体_GB2312" w:hAnsi="黑体" w:eastAsia="楷体_GB2312"/>
          <w:b/>
          <w:color w:val="000000"/>
          <w:sz w:val="44"/>
          <w:szCs w:val="44"/>
        </w:rPr>
        <w:t>年12月</w:t>
      </w:r>
    </w:p>
    <w:p>
      <w:pPr>
        <w:keepNext w:val="0"/>
        <w:keepLines w:val="0"/>
        <w:pageBreakBefore w:val="0"/>
        <w:tabs>
          <w:tab w:val="left" w:pos="2141"/>
        </w:tabs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目  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0"/>
        </w:rPr>
      </w:pP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hint="eastAsia" w:ascii="宋体" w:hAnsi="宋体" w:cs="宋体"/>
          <w:color w:val="000000"/>
          <w:sz w:val="22"/>
        </w:rPr>
        <w:fldChar w:fldCharType="begin"/>
      </w:r>
      <w:r>
        <w:rPr>
          <w:rFonts w:hint="eastAsia" w:ascii="宋体" w:hAnsi="宋体" w:cs="宋体"/>
          <w:color w:val="000000"/>
          <w:sz w:val="22"/>
        </w:rPr>
        <w:instrText xml:space="preserve">TOC \o "1-3" \h \u </w:instrText>
      </w:r>
      <w:r>
        <w:rPr>
          <w:rFonts w:hint="eastAsia" w:ascii="宋体" w:hAnsi="宋体" w:cs="宋体"/>
          <w:color w:val="000000"/>
          <w:sz w:val="22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"_Toc28130"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一、学院概况及就业创业工作特色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_Toc28130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"_Toc3063"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1.1学院概况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_Toc3063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"_Toc5740"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1.2就业工作经验及特色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_Toc5740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"_Toc17059"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1.2.1构建全员、全过程、全方位育人的职业规划教育体系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_Toc17059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"_Toc11814"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1.2.2依托信息平台、就业基地构建完备的就业服务体系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_Toc11814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4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"_Toc25173"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1.2.3.构建注重实践引领的就业实践体系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_Toc25173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4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"_Toc19474"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二、毕业生就业基本情况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_Toc19474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5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"_Toc31920"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2.1毕业生规模和结构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_Toc31920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6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"_Toc24387"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2.1.1毕业生总体规模（按学生性质、性别、民族等统计）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_Toc24387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6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"_Toc24695"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2.1.2不同专业毕业生规模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_Toc24695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8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"_Toc3972"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2.1.1分性别就业率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_Toc3972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9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"_Toc8719"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2.1.2分专业就业率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_Toc8719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9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"_Toc9290"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2.2就业结构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_Toc9290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9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"_Toc25910"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2.2.1就业形式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_Toc25910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9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"_Toc11274"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2.2.2行业分布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_Toc11274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10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"_Toc22901"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2.2.3单位流向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_Toc22901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10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"_Toc12140"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2.3地区分布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_Toc12140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11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"_Toc10001"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2.3.1 大区域分布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_Toc10001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11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"_Toc22261"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三、毕业生就业岗位分析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_Toc22261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12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"_Toc14466"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3.1毕业生薪酬状况（统计各实际月薪区间人数和比例）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_Toc14466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12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"_Toc24347"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3.2工作职位类别分布（统计各工作职位类别人数和比例）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_Toc24347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12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"_Toc27844"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3.3岗位匹配情况（统计岗位匹配人数和比例）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_Toc27844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13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"_Toc21984"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四、毕业生就业趋势分析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_Toc21984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14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"_Toc24820"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4.1就业率变化情况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_Toc24820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14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"_Toc13932"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4.1.1总体情况（含毕业生规模、就业率）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_Toc13932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14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"_Toc13340"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4.1.2不同学历就业率变化情况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_Toc13340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14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"_Toc23094"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4.2就业结构变化情况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_Toc23094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15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"_Toc32283"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4.2.1就业形式变化情况（统计各种比例）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_Toc32283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15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"_Toc13504"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4.2.2就业单位流向变化情况（统计各单位性质比例）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_Toc13504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15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Times New Roman" w:hAnsi="Times New Roman" w:eastAsia="宋体" w:cs="Times New Roman"/>
          <w:kern w:val="2"/>
          <w:sz w:val="21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"_Toc15113"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4.2.3就业地区分布变化情况（统计7大区域等比例）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_Toc15113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16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HYPERLINK \l "_Toc13813"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五、</w:t>
      </w:r>
      <w:r>
        <w:rPr>
          <w:rFonts w:hint="eastAsia" w:cs="Times New Roman"/>
          <w:kern w:val="2"/>
          <w:sz w:val="21"/>
          <w:szCs w:val="28"/>
          <w:lang w:eastAsia="zh-CN"/>
        </w:rPr>
        <w:t>学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院</w:t>
      </w:r>
      <w:r>
        <w:rPr>
          <w:rFonts w:hint="eastAsia" w:eastAsia="宋体" w:cs="Times New Roman"/>
          <w:kern w:val="2"/>
          <w:sz w:val="21"/>
          <w:szCs w:val="28"/>
          <w:lang w:eastAsia="zh-CN"/>
        </w:rPr>
        <w:t>创业就业工作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展望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instrText xml:space="preserve"> PAGEREF _Toc13813 \h </w:instrTex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t>18</w:t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8"/>
        </w:rPr>
        <w:fldChar w:fldCharType="end"/>
      </w:r>
    </w:p>
    <w:p>
      <w:pPr>
        <w:keepNext w:val="0"/>
        <w:keepLines w:val="0"/>
        <w:pageBreakBefore w:val="0"/>
        <w:tabs>
          <w:tab w:val="left" w:pos="2141"/>
        </w:tabs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ascii="仿宋_GB2312" w:eastAsia="仿宋_GB2312"/>
          <w:color w:val="000000"/>
        </w:rPr>
      </w:pPr>
      <w:r>
        <w:rPr>
          <w:rFonts w:hint="eastAsia" w:ascii="宋体" w:hAnsi="宋体" w:cs="宋体"/>
          <w:color w:val="000000"/>
        </w:rPr>
        <w:fldChar w:fldCharType="end"/>
      </w:r>
    </w:p>
    <w:p>
      <w:pPr>
        <w:keepNext w:val="0"/>
        <w:keepLines w:val="0"/>
        <w:pageBreakBefore w:val="0"/>
        <w:tabs>
          <w:tab w:val="left" w:pos="2141"/>
        </w:tabs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ascii="仿宋_GB2312" w:eastAsia="仿宋_GB2312"/>
          <w:color w:val="000000"/>
        </w:rPr>
      </w:pPr>
    </w:p>
    <w:p>
      <w:pPr>
        <w:keepNext w:val="0"/>
        <w:keepLines w:val="0"/>
        <w:pageBreakBefore w:val="0"/>
        <w:tabs>
          <w:tab w:val="left" w:pos="2141"/>
        </w:tabs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ascii="仿宋_GB2312" w:eastAsia="仿宋_GB2312"/>
          <w:color w:val="000000"/>
        </w:rPr>
      </w:pPr>
    </w:p>
    <w:p>
      <w:pPr>
        <w:keepNext w:val="0"/>
        <w:keepLines w:val="0"/>
        <w:pageBreakBefore w:val="0"/>
        <w:tabs>
          <w:tab w:val="left" w:pos="2141"/>
        </w:tabs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ascii="仿宋_GB2312" w:eastAsia="仿宋_GB2312"/>
          <w:color w:val="000000"/>
        </w:rPr>
      </w:pPr>
    </w:p>
    <w:p>
      <w:pPr>
        <w:keepNext w:val="0"/>
        <w:keepLines w:val="0"/>
        <w:pageBreakBefore w:val="0"/>
        <w:tabs>
          <w:tab w:val="left" w:pos="2141"/>
        </w:tabs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ascii="仿宋_GB2312" w:eastAsia="仿宋_GB2312"/>
          <w:color w:val="000000"/>
        </w:rPr>
      </w:pPr>
      <w:bookmarkStart w:id="2" w:name="_Toc28130"/>
    </w:p>
    <w:bookmarkEnd w:id="2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624" w:beforeLines="200" w:beforeAutospacing="0" w:after="624" w:afterLines="200" w:afterAutospacing="0" w:line="360" w:lineRule="auto"/>
        <w:jc w:val="center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624" w:beforeLines="200" w:beforeAutospacing="0" w:after="624" w:afterLines="200" w:afterAutospacing="0" w:line="360" w:lineRule="auto"/>
        <w:jc w:val="center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624" w:beforeLines="200" w:beforeAutospacing="0" w:after="624" w:afterLines="200" w:afterAutospacing="0" w:line="360" w:lineRule="auto"/>
        <w:jc w:val="center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624" w:beforeLines="200" w:beforeAutospacing="0" w:after="624" w:afterLines="200" w:afterAutospacing="0" w:line="360" w:lineRule="auto"/>
        <w:jc w:val="center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624" w:beforeLines="200" w:beforeAutospacing="0" w:after="624" w:afterLines="200" w:afterAutospacing="0" w:line="360" w:lineRule="auto"/>
        <w:jc w:val="center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624" w:beforeLines="200" w:beforeAutospacing="0" w:after="624" w:afterLines="200" w:afterAutospacing="0" w:line="360" w:lineRule="auto"/>
        <w:jc w:val="center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624" w:beforeLines="200" w:beforeAutospacing="0" w:after="624" w:afterLines="200" w:afterAutospacing="0" w:line="360" w:lineRule="auto"/>
        <w:jc w:val="center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624" w:beforeLines="200" w:beforeAutospacing="0" w:after="624" w:afterLines="200" w:afterAutospacing="0" w:line="360" w:lineRule="auto"/>
        <w:jc w:val="center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624" w:beforeLines="200" w:beforeAutospacing="0" w:after="624" w:afterLines="200" w:afterAutospacing="0" w:line="360" w:lineRule="auto"/>
        <w:jc w:val="center"/>
        <w:textAlignment w:val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一、学院概况及就业创业工作特色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8"/>
          <w:szCs w:val="28"/>
        </w:rPr>
      </w:pPr>
      <w:bookmarkStart w:id="3" w:name="_Toc3063"/>
      <w:bookmarkEnd w:id="3"/>
      <w:bookmarkStart w:id="4" w:name="_Toc23116"/>
      <w:bookmarkEnd w:id="4"/>
      <w:bookmarkStart w:id="5" w:name="_Toc12672"/>
      <w:bookmarkEnd w:id="5"/>
      <w:r>
        <w:rPr>
          <w:rFonts w:hint="eastAsia" w:ascii="宋体" w:hAnsi="宋体"/>
          <w:sz w:val="28"/>
          <w:szCs w:val="28"/>
        </w:rPr>
        <w:t>1.1学院概况</w:t>
      </w:r>
    </w:p>
    <w:p>
      <w:pPr>
        <w:pStyle w:val="20"/>
        <w:keepNext w:val="0"/>
        <w:keepLines w:val="0"/>
        <w:pageBreakBefore w:val="0"/>
        <w:tabs>
          <w:tab w:val="right" w:leader="dot" w:pos="8820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firstLine="48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吉首大学创办于1958年9月，在湖南省湘西土家族苗族自治州和张家界市两地办学，校本部位于湘西自治州首府——吉首市，是湖南省属综合性大学，也是武陵山片区唯一的综合性大学。学校是国家民委与湖南省人民政府共建高校，国家“中西部高校基础能力建设工程”高校，“服务国家特殊需求博士人才培养项目”高校，《武陵山片区区域发展与扶贫攻坚规划》重点建设高校，教育部本科教学工作水平评估优秀学校，湖南省研究生培养过程质量评估优秀学校。学校是推荐优秀应届本科毕业生免试攻读硕士学位研究生普通高校。2018年获批为国家博士学位授权单位，湖南省按一本批次录取高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土木工程与建筑学院位于张家界校区，校区面朝天门山、澧水河，坐拥卧虎山，校园环境优美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,人文氛围浓厚</w:t>
      </w:r>
      <w:r>
        <w:rPr>
          <w:rFonts w:hint="eastAsia" w:ascii="宋体" w:hAnsi="宋体" w:cs="宋体"/>
          <w:kern w:val="0"/>
          <w:sz w:val="24"/>
          <w:szCs w:val="24"/>
        </w:rPr>
        <w:t>。学院设有风景园林、城乡规划、土木工程、建筑学等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个特色鲜明的本科专业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，拥有风景园林一级专业硕士学位点，生态环境与城乡规划、园林与景观设计两个二级学科硕土点，</w:t>
      </w:r>
      <w:r>
        <w:rPr>
          <w:rFonts w:hint="eastAsia" w:ascii="宋体" w:hAnsi="宋体" w:cs="宋体"/>
          <w:kern w:val="0"/>
          <w:sz w:val="24"/>
          <w:szCs w:val="24"/>
        </w:rPr>
        <w:t>在校学生规模达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近</w:t>
      </w:r>
      <w:r>
        <w:rPr>
          <w:rFonts w:hint="eastAsia"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00人；其中风景园林为国家级“卓越园林人才教育培养计划”项目，城乡规划学为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省</w:t>
      </w:r>
      <w:r>
        <w:rPr>
          <w:rFonts w:hint="eastAsia" w:ascii="宋体" w:hAnsi="宋体" w:cs="宋体"/>
          <w:kern w:val="0"/>
          <w:sz w:val="24"/>
          <w:szCs w:val="24"/>
        </w:rPr>
        <w:t>“十二五”重点建设学科,土木工程和城乡规划两个专业为湖南省一流专业。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学院教学条件优越，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建有“力学与工程虚拟仿真实验教学中心”、“吉首大学-南方测绘校企合作人才培养示范基地”“吉首大学-湖南省林科院人才培养创新基地”“建筑类专业创新创业教育基地”“规划设计与工程实践创新创业教育中心”“土木工程结构设计创新创业教育中心”“卓越风景园林校企合作创新创业教育基地”7个省级教学平台，以及“虚拟现实与模型制作”“土木工程结构与力学”“数字地理与规划信息技术”“建筑学专业实验室”“BIM技术实验室”等8个央财资金项目实验室，实验室及专业教室面积达7629m2,仪器设备总值2100余万元。与湖南建工、南方测绘、湖南省建筑设计院等32个企事业单位共建实习与就业基地，在京津冀、长三角、珠三角、长株潭等区城建有稳固的土建类专业实习基地群。</w:t>
      </w:r>
    </w:p>
    <w:p>
      <w:pPr>
        <w:pStyle w:val="20"/>
        <w:keepNext w:val="0"/>
        <w:keepLines w:val="0"/>
        <w:pageBreakBefore w:val="0"/>
        <w:tabs>
          <w:tab w:val="right" w:leader="dot" w:pos="8820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firstLine="480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学院师资力量雄厚，现有教师55人，其中教授9人，副教授18人，博士和在读搏士24人，具有注册城乡规划师、一级注册建造师、一级注册结构工程师等执业资格教师28人。聘请中山大学，中南大学、中科院等5位知名教授为特聘教授，聘请湖南建工、南方测绘、张家界市住建局等8位知名专家为客座教授。</w:t>
      </w:r>
    </w:p>
    <w:p>
      <w:pPr>
        <w:pStyle w:val="20"/>
        <w:keepNext w:val="0"/>
        <w:keepLines w:val="0"/>
        <w:pageBreakBefore w:val="0"/>
        <w:tabs>
          <w:tab w:val="right" w:leader="dot" w:pos="8820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近年来，学院教师主持国家自科基金5项，省部级科研项目20余项，获湖南省信息化课程竞赛一等奖2项、二等奖2项，国家民委教学成果二等奖1项，湖南省教学成果三等奖3项，出版专著12部、规划设计系列教材15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学院人才培养质量过硬，近年来学生参加学科竞赛屡获佳绩，其中获得全国结构设计竞赛一等奖4项(均位列前三名),全国高校BIM毕业设计创新大赛一等奖5项，湖南省大学生城乡规划设计竞赛、风景园林竞赛、可持续建筑设计竞赛、力学竞赛，测绘综合技能竞赛奖项等120余项(名列省内高校前五)。主持大学生创新创业训练计划项目国家级11项、省级18项(名列全校前四)。参与教师社会服务项目100余项，发表科研论文70余篇。获“国家奖学金”“国家励志奖学金”“冠代奖学金”“湖南省三好学生”“湖南省级优秀毕业生”等奖励和荣誉180余项。近一半毕业生就业于中铁、中建、湖南建工、湖南省建筑设计院等大中型企业，最终就业率100%;学院有研究生免试推免权，应届考研录取率超过25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%，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其中推免澳门科技大学、中南大学、西安建筑科技大学等高校20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当前，学院发扬“团结、务实、和谐、创新”精神，业已成为武陵山片区规划设计类专业人才的培养基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地，为地方经济社会发展与新型城镇化建设做出了不可替代的贡献。学院将继续坚持高质量发展，特色发展的主旋律，以“匠心士建，星耀天门”文化品牌为指引，为把学院建设成为武陵山片区实践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新型土建类人才培养高地而努力奋斗!</w:t>
      </w:r>
    </w:p>
    <w:p>
      <w:pPr>
        <w:pStyle w:val="20"/>
        <w:keepNext w:val="0"/>
        <w:keepLines w:val="0"/>
        <w:pageBreakBefore w:val="0"/>
        <w:tabs>
          <w:tab w:val="right" w:leader="dot" w:pos="8820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firstLine="480"/>
        <w:textAlignment w:val="auto"/>
        <w:rPr>
          <w:rFonts w:ascii="宋体" w:hAnsi="宋体" w:cs="宋体"/>
          <w:kern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hAnsi="宋体"/>
          <w:sz w:val="28"/>
          <w:szCs w:val="28"/>
        </w:rPr>
      </w:pPr>
      <w:bookmarkStart w:id="6" w:name="_Toc17059"/>
      <w:bookmarkEnd w:id="6"/>
      <w:bookmarkStart w:id="7" w:name="_Toc20554"/>
      <w:bookmarkEnd w:id="7"/>
      <w:bookmarkStart w:id="8" w:name="_Toc2059"/>
      <w:bookmarkEnd w:id="8"/>
      <w:bookmarkStart w:id="9" w:name="_Toc360"/>
      <w:bookmarkEnd w:id="9"/>
      <w:bookmarkStart w:id="10" w:name="_Toc14544"/>
      <w:bookmarkEnd w:id="10"/>
      <w:bookmarkStart w:id="11" w:name="_Toc5740"/>
      <w:bookmarkEnd w:id="11"/>
      <w:bookmarkStart w:id="12" w:name="_Toc9380"/>
      <w:bookmarkEnd w:id="12"/>
      <w:r>
        <w:rPr>
          <w:rFonts w:hint="eastAsia" w:ascii="宋体" w:hAnsi="宋体"/>
          <w:sz w:val="28"/>
          <w:szCs w:val="28"/>
        </w:rPr>
        <w:t>1.2就业工作经验及特色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过去的一年，学院逐步形成了“全员参与、师生联动，在就业宣传上，层层传递压力，确保全员就业观念入脑上心；在就业工作上，分级落实责任，确保就业困难步步消解”的工作思路，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进一步加强了就业创业的组织领导，成立了以书记院长为组长的双“一把手”就业和创新创业教育工作领导小组，推行就业工作目标管理，坚持毕业生就业工作“四纳入”，充分调动全体师生员工帮助毕业生就业的积极性与主动性。同时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我院</w:t>
      </w:r>
      <w:r>
        <w:rPr>
          <w:rFonts w:hint="eastAsia" w:ascii="宋体" w:hAnsi="宋体" w:eastAsia="宋体" w:cs="宋体"/>
          <w:kern w:val="0"/>
          <w:sz w:val="24"/>
          <w:szCs w:val="24"/>
        </w:rPr>
        <w:t>加强了就业工作考核，坚持将就业工作考核结果与工作目标相结合，积极构建地方高校大学生就业创业教育体系。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</w:pPr>
      <w:bookmarkStart w:id="13" w:name="_Toc11814"/>
      <w:bookmarkEnd w:id="13"/>
      <w:bookmarkStart w:id="14" w:name="_Toc28055"/>
      <w:bookmarkEnd w:id="14"/>
      <w:bookmarkStart w:id="15" w:name="_Toc17314"/>
      <w:bookmarkEnd w:id="15"/>
      <w:bookmarkStart w:id="16" w:name="_Toc19474"/>
      <w:r>
        <w:rPr>
          <w:rFonts w:hint="eastAsia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  <w:t>1.2.1高度重视就业宣传、自上而下层层传递保就业的压力，营造良好就业氛围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多渠道、多方式、多层次立体宣传保就业、促就业工作不仅仅是“一把手工程”，更关系到学科专业的存亡、每位教师的“饭碗”，每位同学的家庭幸福。确保把保就业的压力传递个每一位老师、每一位学生。有效消除了部分同学在就业择业方面“皇帝不急、太监急”的消极状况，努力营造“人人谈就业、人人想就业、人人要就业”的良好就业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  <w:t>1.2.2明确各自工作重点、层层落实责任，自下而上步步攻破就业难题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明确了院领导、系主任“访企拓岗”、依据人才市场需求适时调整人才培养方案；班主任面向班级深入就业宣传，及时掌握和反馈贫困生、就业困难学生的情况；毕业论文指导老师依据学生专业特长制定个性化就业推荐和指导；就业专干做好就业信息传递、统计、跟踪等相关服务的工作重心重点。初步构建了立体化就业创业工作服务网络，层层落实责任，自下而上步步攻破就业难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  <w:t>1.2.3夯实就业平台</w:t>
      </w:r>
      <w:r>
        <w:rPr>
          <w:rFonts w:hint="default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  <w:t>调整招聘方式</w:t>
      </w:r>
      <w:r>
        <w:rPr>
          <w:rFonts w:hint="default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  <w:t>，提升服务水平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一方面</w:t>
      </w: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夯实就业平台，确保资金、人员、场地三到位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完善就业指导与服务规范化水平，将人才培养与社会需求全面融合，全程助力学生就业。多渠道拓展就业市场。学院积极加强与用人单位、人才交流中心的合作，逐步构建校园宣讲会、专场招聘会、综合招聘会相结合的多层次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校园招聘</w:t>
      </w: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体系，为毕业生提供便捷、高效的服务。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学院结合专业特色举办各种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“精准化、小型化”</w:t>
      </w: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专场招聘会、宣讲会以及宣传活动20余场，邀请了近50家用人单位到校招聘，为毕业生提供招聘岗位2000多个。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另一方面</w:t>
      </w: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进一步拓展信息化办公渠道，加强网络就业市场的开发。进一步完善学院就业信息，及时更新就业信息资讯，努力形成学院、用人单位和学生的网络对接。构建学院微信平台、就业工作QQ群组成的信息发布网络体系为毕业生推送大量求职指导、就业信息、招聘公告等，为毕业生提供较好的帮助，受到毕业生的欢迎。线上招聘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网络签约，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成为我院202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年就业工作旅程中的一道亮丽风景</w:t>
      </w: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  <w:t>1.2.4</w:t>
      </w:r>
      <w:r>
        <w:rPr>
          <w:rFonts w:hint="default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  <w:t>完善就业指导，提升就业创业能力，培养就业竞争力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学院重视大学生职业发展与就业指导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工作，</w:t>
      </w: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建立就业创业咨询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室，</w:t>
      </w: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常开展毕业生就业咨询和学生职业生涯规划指导，端正毕业生就业动机，帮助毕业生更好地进行自我认知，合理定位就业期望值，调整就业心态和情绪，缓解毕业生就业压力，培养良好的心理品质，提高学生心理素质能力、创新能力和团队协作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院成立了大学生创新创业工作领导小组，以创业助推就业，把创新创业教育纳入人才培养方案，融入专业教育、文化素质教育和就业教育之中。积极开展职业规划大赛、简历大赛、毕业生求职简历诊断及辅导、求职模拟大赛等活动，多维度提升学生创新创业能力和就业竞争力。学院开展多种形式的创业教育，注重理论结合实践，增强学生的创新创业意识，提高大学生综合能力。合理利用大学生创业资助基金，加大对大学生创业项目的扶持力度，充分利用大学生创业导师资源，为有创业意愿和需求的大学生提供创业咨询和帮带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  <w:t>1.2.5</w:t>
      </w:r>
      <w:r>
        <w:rPr>
          <w:rFonts w:hint="default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  <w:t>落实就业政策</w:t>
      </w:r>
      <w:r>
        <w:rPr>
          <w:rFonts w:hint="eastAsia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  <w:t>开展就业帮扶，促进困难学生充分就业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针对经济困难学生、少数民族学生、就业困难学生等特殊就业群体，按照重点关注、重点推荐、重点服务的原则，深入开展就业关怀，完善一对一帮扶制度，积极开展就业服务的分类引导，针对经济困难学生开展就业资助，对特别困难、符合申请条件的学生发放就业补贴，符合条件的42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毕业生一次性发放求职创业补贴金额1500元/人，共计63000元。针对就业困难学生，安排帮扶教师，开展一对一就业指导，针对因就业存在心理压力的学生，提供心理辅导，帮助他们树立信心，减轻压力，实现就业。切实关心每一个就业困难毕业生的求职，切实帮助家庭经济困难学生、少数民族学生、身体残疾学生顺利就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  <w:t>1.2.6</w:t>
      </w:r>
      <w:r>
        <w:rPr>
          <w:rFonts w:hint="default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  <w:t>开拓就业市场，拓宽就业渠道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为应对严峻复杂的就业形势，促进毕业生顺利就业，学院认真贯彻落实国家、省、学校相关就业工作会议精神，提前谋划，采取多项措施努力开拓就业领域，扩大就业市场，建立健全学院、教师、学生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级就业市场开拓工作体系。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是学院领导班子、就业工作领导小组成员、全体教师多方联系用人单位到学院招聘；二是鼓励教师参与就业市场开拓，参与就业指导讲座，参与就业指导；三是通过往届毕业校友联系需要学生的单位和学校，搭建往届毕业生信息网络，拓展用人单位对学校、对学院的了解和联系，拓展就业信息渠道；四是利用学生到各地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毕业</w:t>
      </w: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实习和顶岗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机会，及时了解各地人才需求状况，积极联系就业单位；五是积极鼓励学生考研、基层就业、参加入伍和自主创业，多种渠道拓展学生的就业面；六是通过对往届毕业生工作单位和当地教育行政部门实地调研，了解各地州、县区对毕业生的需求情况，有针对性地开展毕业生就业指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</w:pPr>
    </w:p>
    <w:bookmarkEnd w:id="1"/>
    <w:bookmarkEnd w:id="16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624" w:beforeLines="200" w:after="624" w:afterLines="200" w:line="360" w:lineRule="auto"/>
        <w:jc w:val="center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  <w:bookmarkStart w:id="17" w:name="_Toc1540"/>
      <w:bookmarkEnd w:id="17"/>
      <w:bookmarkStart w:id="18" w:name="_Toc109"/>
      <w:bookmarkEnd w:id="18"/>
      <w:bookmarkStart w:id="19" w:name="_Toc19430"/>
      <w:bookmarkEnd w:id="19"/>
      <w:bookmarkStart w:id="20" w:name="_Toc17228"/>
      <w:bookmarkEnd w:id="20"/>
      <w:bookmarkStart w:id="21" w:name="_Toc6493"/>
      <w:bookmarkEnd w:id="21"/>
      <w:bookmarkStart w:id="22" w:name="_Toc4921"/>
      <w:bookmarkEnd w:id="22"/>
      <w:bookmarkStart w:id="23" w:name="_Toc25467"/>
      <w:bookmarkEnd w:id="23"/>
      <w:bookmarkStart w:id="24" w:name="_Toc10279"/>
      <w:bookmarkEnd w:id="24"/>
      <w:bookmarkStart w:id="25" w:name="_Toc18728"/>
      <w:bookmarkEnd w:id="25"/>
      <w:bookmarkStart w:id="26" w:name="_Toc24228"/>
      <w:bookmarkEnd w:id="26"/>
      <w:bookmarkStart w:id="27" w:name="_Toc8891"/>
      <w:bookmarkEnd w:id="27"/>
      <w:bookmarkStart w:id="28" w:name="_Toc8719"/>
      <w:bookmarkEnd w:id="28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624" w:beforeLines="200" w:after="624" w:afterLines="200" w:line="360" w:lineRule="auto"/>
        <w:jc w:val="center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624" w:beforeLines="200" w:after="624" w:afterLines="200" w:line="360" w:lineRule="auto"/>
        <w:jc w:val="center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624" w:beforeLines="200" w:after="624" w:afterLines="200" w:line="360" w:lineRule="auto"/>
        <w:jc w:val="center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624" w:beforeLines="200" w:after="624" w:afterLines="200" w:line="360" w:lineRule="auto"/>
        <w:jc w:val="center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624" w:beforeLines="200" w:after="624" w:afterLines="200" w:line="360" w:lineRule="auto"/>
        <w:jc w:val="center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624" w:beforeLines="200" w:after="624" w:afterLines="200" w:line="360" w:lineRule="auto"/>
        <w:jc w:val="center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624" w:beforeLines="200" w:after="624" w:afterLines="200" w:line="360" w:lineRule="auto"/>
        <w:jc w:val="both"/>
        <w:textAlignment w:val="auto"/>
        <w:rPr>
          <w:rFonts w:hint="eastAsia" w:eastAsia="宋体" w:asciiTheme="majorEastAsia" w:hAnsiTheme="majorEastAsia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624" w:beforeLines="200" w:after="624" w:afterLines="200" w:line="360" w:lineRule="auto"/>
        <w:jc w:val="both"/>
        <w:textAlignment w:val="auto"/>
        <w:rPr>
          <w:rFonts w:hint="eastAsia" w:eastAsia="宋体" w:asciiTheme="majorEastAsia" w:hAnsiTheme="majorEastAsia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624" w:beforeLines="200" w:after="624" w:afterLines="200" w:line="360" w:lineRule="auto"/>
        <w:jc w:val="center"/>
        <w:textAlignment w:val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二、毕业生就业基本情况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  <w:sz w:val="28"/>
          <w:szCs w:val="28"/>
        </w:rPr>
      </w:pPr>
      <w:bookmarkStart w:id="29" w:name="_Toc31920"/>
      <w:bookmarkEnd w:id="29"/>
      <w:bookmarkStart w:id="30" w:name="_Toc6151"/>
      <w:bookmarkEnd w:id="30"/>
      <w:bookmarkStart w:id="31" w:name="_Toc31483"/>
      <w:bookmarkEnd w:id="31"/>
      <w:r>
        <w:rPr>
          <w:rFonts w:ascii="Times New Roman" w:hAnsi="Times New Roman"/>
          <w:sz w:val="28"/>
          <w:szCs w:val="28"/>
        </w:rPr>
        <w:t>2.1</w:t>
      </w:r>
      <w:r>
        <w:rPr>
          <w:rFonts w:hint="eastAsia" w:ascii="Times New Roman" w:hAnsi="Times New Roman"/>
          <w:sz w:val="28"/>
          <w:szCs w:val="28"/>
        </w:rPr>
        <w:t>毕业生规模和结构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360" w:lineRule="auto"/>
        <w:textAlignment w:val="auto"/>
        <w:rPr>
          <w:rFonts w:eastAsiaTheme="majorEastAsia"/>
          <w:sz w:val="24"/>
          <w:szCs w:val="24"/>
        </w:rPr>
      </w:pPr>
      <w:bookmarkStart w:id="32" w:name="_Toc24387"/>
      <w:bookmarkEnd w:id="32"/>
      <w:bookmarkStart w:id="33" w:name="_Toc26380"/>
      <w:bookmarkEnd w:id="33"/>
      <w:bookmarkStart w:id="34" w:name="_Toc97"/>
      <w:bookmarkEnd w:id="34"/>
      <w:r>
        <w:rPr>
          <w:rFonts w:eastAsiaTheme="majorEastAsia"/>
          <w:sz w:val="24"/>
          <w:szCs w:val="24"/>
        </w:rPr>
        <w:t>2.1.1</w:t>
      </w:r>
      <w:r>
        <w:rPr>
          <w:rFonts w:hint="eastAsia" w:eastAsiaTheme="majorEastAsia"/>
          <w:sz w:val="24"/>
          <w:szCs w:val="24"/>
        </w:rPr>
        <w:t>毕业生总体规模（按学生性质、性别、民族等统计）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仿宋_GB2312" w:hAnsi="微软雅黑"/>
          <w:sz w:val="24"/>
          <w:szCs w:val="24"/>
        </w:rPr>
      </w:pPr>
      <w:bookmarkStart w:id="35" w:name="_Hlk89716018"/>
      <w:bookmarkEnd w:id="35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我院2022届本科毕业生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303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人，其中男生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183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人，占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60.40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%；女生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人，占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39.60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（见图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。我院2023届本科毕业生3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人中，城镇应届毕业生8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人，占2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%；城镇往届毕业生1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人，占3.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%；农村应届毕业生1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87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人，占61.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%；农村往届毕业2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人，占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92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0" w:firstLineChars="0"/>
        <w:textAlignment w:val="auto"/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drawing>
          <wp:inline distT="0" distB="0" distL="0" distR="0">
            <wp:extent cx="4593590" cy="2696210"/>
            <wp:effectExtent l="4445" t="5080" r="19685" b="11430"/>
            <wp:docPr id="18357955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720" w:firstLineChars="300"/>
        <w:jc w:val="center"/>
        <w:textAlignment w:val="auto"/>
        <w:rPr>
          <w:rFonts w:ascii="仿宋_GB2312" w:hAnsi="微软雅黑"/>
          <w:sz w:val="32"/>
          <w:szCs w:val="32"/>
        </w:rPr>
      </w:pPr>
      <w:r>
        <w:rPr>
          <w:rFonts w:hint="eastAsia" w:ascii="仿宋_GB2312" w:hAnsi="微软雅黑"/>
          <w:sz w:val="24"/>
          <w:szCs w:val="24"/>
        </w:rPr>
        <w:t>图1：性别构成情况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0" w:firstLineChars="0"/>
        <w:textAlignment w:val="auto"/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我院2023届本科毕业生3</w:t>
      </w:r>
      <w:r>
        <w:rPr>
          <w:rFonts w:ascii="宋体" w:hAnsi="宋体" w:cs="宋体"/>
          <w:sz w:val="24"/>
          <w:szCs w:val="24"/>
        </w:rPr>
        <w:t>03</w:t>
      </w:r>
      <w:r>
        <w:rPr>
          <w:rFonts w:hint="eastAsia" w:ascii="宋体" w:hAnsi="宋体" w:cs="宋体"/>
          <w:sz w:val="24"/>
          <w:szCs w:val="24"/>
        </w:rPr>
        <w:t>人，其中汉族25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人，藏族3人，侗族1人，回族4人，蒙古族3人，苗族7人，黎族1人，土家族</w:t>
      </w:r>
      <w:r>
        <w:rPr>
          <w:rFonts w:ascii="宋体" w:hAnsi="宋体" w:cs="宋体"/>
          <w:sz w:val="24"/>
          <w:szCs w:val="24"/>
        </w:rPr>
        <w:t>15</w:t>
      </w:r>
      <w:r>
        <w:rPr>
          <w:rFonts w:hint="eastAsia" w:ascii="宋体" w:hAnsi="宋体" w:cs="宋体"/>
          <w:sz w:val="24"/>
          <w:szCs w:val="24"/>
        </w:rPr>
        <w:t>人，维吾尔族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人，畲族1人，瑶族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人，满族1人，土族1人，白族1人、布依族1人、壯族2人</w:t>
      </w:r>
      <w:r>
        <w:rPr>
          <w:rFonts w:hint="eastAsia" w:ascii="宋体" w:hAnsi="宋体" w:cs="宋体"/>
          <w:sz w:val="24"/>
          <w:szCs w:val="24"/>
          <w:lang w:eastAsia="zh-CN"/>
        </w:rPr>
        <w:t>（见图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rFonts w:hint="eastAsia" w:ascii="宋体" w:hAnsi="宋体" w:cs="宋体"/>
          <w:color w:val="000000"/>
          <w:sz w:val="24"/>
          <w:szCs w:val="24"/>
        </w:rPr>
        <w:t>我院2</w:t>
      </w:r>
      <w:r>
        <w:rPr>
          <w:rFonts w:hint="eastAsia" w:ascii="宋体" w:hAnsi="宋体" w:cs="宋体"/>
          <w:sz w:val="24"/>
          <w:szCs w:val="24"/>
        </w:rPr>
        <w:t>02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届本科毕业生</w:t>
      </w:r>
      <w:r>
        <w:rPr>
          <w:rFonts w:ascii="宋体" w:hAnsi="宋体" w:cs="宋体"/>
          <w:sz w:val="24"/>
          <w:szCs w:val="24"/>
        </w:rPr>
        <w:t>303</w:t>
      </w:r>
      <w:r>
        <w:rPr>
          <w:rFonts w:hint="eastAsia" w:ascii="宋体" w:hAnsi="宋体" w:cs="宋体"/>
          <w:sz w:val="24"/>
          <w:szCs w:val="24"/>
        </w:rPr>
        <w:t>人，其中湖南省生源</w:t>
      </w:r>
      <w:r>
        <w:rPr>
          <w:rFonts w:ascii="宋体" w:hAnsi="宋体" w:cs="宋体"/>
          <w:sz w:val="24"/>
          <w:szCs w:val="24"/>
        </w:rPr>
        <w:t>250</w:t>
      </w:r>
      <w:r>
        <w:rPr>
          <w:rFonts w:hint="eastAsia" w:ascii="宋体" w:hAnsi="宋体" w:cs="宋体"/>
          <w:sz w:val="24"/>
          <w:szCs w:val="24"/>
        </w:rPr>
        <w:t>人，占8</w:t>
      </w:r>
      <w:r>
        <w:rPr>
          <w:rFonts w:ascii="宋体" w:hAnsi="宋体" w:cs="宋体"/>
          <w:sz w:val="24"/>
          <w:szCs w:val="24"/>
        </w:rPr>
        <w:t>2.51</w:t>
      </w:r>
      <w:r>
        <w:rPr>
          <w:rFonts w:hint="eastAsia" w:ascii="宋体" w:hAnsi="宋体" w:cs="宋体"/>
          <w:sz w:val="24"/>
          <w:szCs w:val="24"/>
        </w:rPr>
        <w:t>%，非湖南省生源</w:t>
      </w:r>
      <w:r>
        <w:rPr>
          <w:rFonts w:ascii="宋体" w:hAnsi="宋体" w:cs="宋体"/>
          <w:sz w:val="24"/>
          <w:szCs w:val="24"/>
        </w:rPr>
        <w:t>53</w:t>
      </w:r>
      <w:r>
        <w:rPr>
          <w:rFonts w:hint="eastAsia" w:ascii="宋体" w:hAnsi="宋体" w:cs="宋体"/>
          <w:sz w:val="24"/>
          <w:szCs w:val="24"/>
        </w:rPr>
        <w:t>人，占</w:t>
      </w:r>
      <w:r>
        <w:rPr>
          <w:rFonts w:ascii="宋体" w:hAnsi="宋体" w:cs="宋体"/>
          <w:sz w:val="24"/>
          <w:szCs w:val="24"/>
        </w:rPr>
        <w:t>17.49</w:t>
      </w:r>
      <w:r>
        <w:rPr>
          <w:rFonts w:hint="eastAsia" w:ascii="宋体" w:hAnsi="宋体" w:cs="宋体"/>
          <w:sz w:val="24"/>
          <w:szCs w:val="24"/>
        </w:rPr>
        <w:t>%</w:t>
      </w:r>
      <w:r>
        <w:rPr>
          <w:rFonts w:hint="eastAsia" w:ascii="宋体" w:hAnsi="宋体" w:cs="宋体"/>
          <w:sz w:val="24"/>
          <w:szCs w:val="24"/>
          <w:lang w:eastAsia="zh-CN"/>
        </w:rPr>
        <w:t>（见图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Style w:val="17"/>
        <w:spacing w:beforeAutospacing="0" w:afterAutospacing="0" w:line="360" w:lineRule="exact"/>
        <w:ind w:left="0" w:leftChars="0" w:firstLine="0" w:firstLineChars="0"/>
        <w:jc w:val="center"/>
        <w:rPr>
          <w:rFonts w:hint="eastAsia" w:eastAsiaTheme="minorEastAsia"/>
          <w:color w:val="000000"/>
          <w:sz w:val="24"/>
          <w:szCs w:val="24"/>
        </w:rPr>
      </w:pPr>
    </w:p>
    <w:p>
      <w:pPr>
        <w:pStyle w:val="17"/>
        <w:spacing w:beforeAutospacing="0" w:afterAutospacing="0" w:line="360" w:lineRule="exact"/>
        <w:ind w:left="0" w:leftChars="0" w:firstLine="0" w:firstLineChars="0"/>
        <w:jc w:val="center"/>
        <w:rPr>
          <w:rFonts w:hint="eastAsia" w:eastAsiaTheme="minorEastAsia"/>
          <w:color w:val="000000"/>
          <w:sz w:val="24"/>
          <w:szCs w:val="24"/>
        </w:rPr>
      </w:pPr>
    </w:p>
    <w:p>
      <w:pPr>
        <w:pStyle w:val="17"/>
        <w:spacing w:beforeAutospacing="0" w:afterAutospacing="0" w:line="360" w:lineRule="exact"/>
        <w:ind w:left="0" w:leftChars="0" w:firstLine="0" w:firstLineChars="0"/>
        <w:jc w:val="center"/>
        <w:rPr>
          <w:rFonts w:hint="eastAsia" w:eastAsiaTheme="minorEastAsia"/>
          <w:color w:val="000000"/>
          <w:sz w:val="24"/>
          <w:szCs w:val="24"/>
        </w:rPr>
      </w:pPr>
    </w:p>
    <w:p>
      <w:pPr>
        <w:pStyle w:val="17"/>
        <w:spacing w:beforeAutospacing="0" w:afterAutospacing="0" w:line="360" w:lineRule="exact"/>
        <w:ind w:left="0" w:leftChars="0" w:firstLine="0" w:firstLineChars="0"/>
        <w:jc w:val="center"/>
        <w:rPr>
          <w:rFonts w:hint="eastAsia" w:eastAsiaTheme="minorEastAsia"/>
          <w:color w:val="000000"/>
          <w:sz w:val="24"/>
          <w:szCs w:val="24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drawing>
          <wp:inline distT="0" distB="0" distL="0" distR="0">
            <wp:extent cx="4949825" cy="3211195"/>
            <wp:effectExtent l="4445" t="4445" r="13970" b="15240"/>
            <wp:docPr id="157157062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17"/>
        <w:spacing w:beforeAutospacing="0" w:afterAutospacing="0" w:line="360" w:lineRule="exact"/>
        <w:ind w:left="0" w:leftChars="0" w:firstLine="0" w:firstLineChars="0"/>
        <w:jc w:val="center"/>
        <w:rPr>
          <w:rFonts w:hint="eastAsia" w:eastAsiaTheme="minorEastAsia"/>
          <w:color w:val="000000"/>
          <w:sz w:val="24"/>
          <w:szCs w:val="24"/>
        </w:rPr>
      </w:pPr>
      <w:r>
        <w:rPr>
          <w:rFonts w:hint="eastAsia" w:eastAsiaTheme="minorEastAsia"/>
          <w:color w:val="000000"/>
          <w:sz w:val="24"/>
          <w:szCs w:val="24"/>
        </w:rPr>
        <w:t>图</w:t>
      </w:r>
      <w:r>
        <w:rPr>
          <w:rFonts w:hint="eastAsia" w:eastAsia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eastAsiaTheme="minorEastAsia"/>
          <w:color w:val="000000"/>
          <w:sz w:val="24"/>
          <w:szCs w:val="24"/>
        </w:rPr>
        <w:t>：</w:t>
      </w:r>
      <w:r>
        <w:rPr>
          <w:rFonts w:hint="eastAsia" w:eastAsiaTheme="minorEastAsia"/>
          <w:color w:val="000000"/>
          <w:sz w:val="24"/>
          <w:szCs w:val="24"/>
          <w:lang w:eastAsia="zh-CN"/>
        </w:rPr>
        <w:t>毕业生</w:t>
      </w:r>
      <w:r>
        <w:rPr>
          <w:rFonts w:hint="eastAsia" w:eastAsiaTheme="minorEastAsia"/>
          <w:color w:val="000000"/>
          <w:sz w:val="24"/>
          <w:szCs w:val="24"/>
        </w:rPr>
        <w:t>民族构成情况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0" w:firstLineChars="0"/>
        <w:textAlignment w:val="auto"/>
      </w:pPr>
    </w:p>
    <w:p>
      <w:pPr>
        <w:pStyle w:val="17"/>
        <w:spacing w:beforeAutospacing="0" w:afterAutospacing="0" w:line="360" w:lineRule="exact"/>
        <w:ind w:left="0" w:leftChars="0" w:firstLine="0" w:firstLineChars="0"/>
        <w:jc w:val="center"/>
        <w:rPr>
          <w:rFonts w:hint="eastAsia" w:eastAsiaTheme="minorEastAsia"/>
          <w:color w:val="000000"/>
          <w:sz w:val="24"/>
          <w:szCs w:val="24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仿宋_GB2312" w:hAnsi="微软雅黑"/>
          <w:color w:val="000000"/>
          <w:sz w:val="24"/>
          <w:szCs w:val="24"/>
        </w:rPr>
      </w:pPr>
      <w:r>
        <w:drawing>
          <wp:inline distT="0" distB="0" distL="0" distR="0">
            <wp:extent cx="4579620" cy="2750820"/>
            <wp:effectExtent l="4445" t="4445" r="6985" b="6985"/>
            <wp:docPr id="1772324571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17"/>
        <w:spacing w:beforeAutospacing="0" w:afterAutospacing="0" w:line="360" w:lineRule="exact"/>
        <w:ind w:firstLine="480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eastAsiaTheme="minorEastAsia"/>
          <w:color w:val="000000"/>
          <w:sz w:val="24"/>
          <w:szCs w:val="24"/>
          <w:lang w:eastAsia="zh-CN"/>
        </w:rPr>
        <w:t>图</w:t>
      </w:r>
      <w:r>
        <w:rPr>
          <w:rFonts w:hint="eastAsia" w:eastAsiaTheme="minorEastAsia"/>
          <w:color w:val="000000"/>
          <w:sz w:val="24"/>
          <w:szCs w:val="24"/>
          <w:lang w:val="en-US" w:eastAsia="zh-CN"/>
        </w:rPr>
        <w:t>3毕业生生源地情况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0" w:firstLineChars="0"/>
        <w:textAlignment w:val="auto"/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eastAsiaTheme="minorEastAsia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微软雅黑"/>
          <w:sz w:val="24"/>
          <w:szCs w:val="24"/>
        </w:rPr>
      </w:pPr>
      <w:bookmarkStart w:id="36" w:name="_Hlk89716577"/>
      <w:r>
        <w:rPr>
          <w:rFonts w:hint="eastAsia" w:ascii="宋体" w:hAnsi="宋体" w:cs="宋体"/>
          <w:color w:val="000000"/>
          <w:sz w:val="24"/>
        </w:rPr>
        <w:t>我院2</w:t>
      </w:r>
      <w:r>
        <w:rPr>
          <w:rFonts w:hint="eastAsia" w:ascii="宋体" w:hAnsi="宋体" w:cs="宋体"/>
          <w:sz w:val="24"/>
        </w:rPr>
        <w:t>02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届本科毕业生3</w:t>
      </w:r>
      <w:r>
        <w:rPr>
          <w:rFonts w:ascii="宋体" w:hAnsi="宋体" w:cs="宋体"/>
          <w:sz w:val="24"/>
        </w:rPr>
        <w:t>03</w:t>
      </w:r>
      <w:r>
        <w:rPr>
          <w:rFonts w:hint="eastAsia" w:ascii="宋体" w:hAnsi="宋体" w:cs="宋体"/>
          <w:sz w:val="24"/>
        </w:rPr>
        <w:t>人，其中非困难生2</w:t>
      </w:r>
      <w:r>
        <w:rPr>
          <w:rFonts w:ascii="宋体" w:hAnsi="宋体" w:cs="宋体"/>
          <w:sz w:val="24"/>
        </w:rPr>
        <w:t>53</w:t>
      </w:r>
      <w:r>
        <w:rPr>
          <w:rFonts w:hint="eastAsia" w:ascii="宋体" w:hAnsi="宋体" w:cs="宋体"/>
          <w:sz w:val="24"/>
        </w:rPr>
        <w:t>人，家庭经济困难7人，家庭困难和残疾4人，脱贫家庭24人，零就业家庭4人，</w:t>
      </w:r>
      <w:r>
        <w:rPr>
          <w:rFonts w:hint="eastAsia" w:ascii="宋体" w:hAnsi="宋体" w:cs="宋体"/>
          <w:kern w:val="0"/>
          <w:sz w:val="22"/>
        </w:rPr>
        <w:t>重灾区1人，身体残疾1人，低保家庭9人</w:t>
      </w:r>
      <w:r>
        <w:rPr>
          <w:rFonts w:hint="eastAsia" w:ascii="宋体" w:hAnsi="宋体" w:cs="宋体"/>
          <w:sz w:val="24"/>
          <w:szCs w:val="24"/>
          <w:lang w:eastAsia="zh-CN"/>
        </w:rPr>
        <w:t>（见图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kern w:val="0"/>
          <w:sz w:val="22"/>
        </w:rPr>
        <w:t>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drawing>
          <wp:inline distT="0" distB="0" distL="0" distR="0">
            <wp:extent cx="4572000" cy="2743200"/>
            <wp:effectExtent l="4445" t="4445" r="10795" b="10795"/>
            <wp:docPr id="180733020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_GB2312" w:hAnsi="微软雅黑"/>
          <w:sz w:val="24"/>
          <w:szCs w:val="24"/>
        </w:rPr>
      </w:pPr>
      <w:r>
        <w:rPr>
          <w:rFonts w:hint="eastAsia" w:ascii="仿宋_GB2312" w:hAnsi="微软雅黑"/>
          <w:sz w:val="24"/>
          <w:szCs w:val="24"/>
        </w:rPr>
        <w:t>图</w:t>
      </w:r>
      <w:r>
        <w:rPr>
          <w:rFonts w:hint="eastAsia" w:ascii="仿宋_GB2312" w:hAnsi="微软雅黑"/>
          <w:sz w:val="24"/>
          <w:szCs w:val="24"/>
          <w:lang w:val="en-US" w:eastAsia="zh-CN"/>
        </w:rPr>
        <w:t>4</w:t>
      </w:r>
      <w:r>
        <w:rPr>
          <w:rFonts w:hint="eastAsia" w:ascii="仿宋_GB2312" w:hAnsi="微软雅黑"/>
          <w:sz w:val="24"/>
          <w:szCs w:val="24"/>
        </w:rPr>
        <w:t>：家庭困难情况（就业困难类别）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0" w:firstLineChars="0"/>
        <w:textAlignment w:val="auto"/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仿宋_GB2312" w:hAnsi="微软雅黑"/>
          <w:color w:val="000000"/>
          <w:sz w:val="28"/>
          <w:szCs w:val="28"/>
        </w:rPr>
      </w:pPr>
      <w:r>
        <w:rPr>
          <w:rFonts w:hint="eastAsia" w:ascii="仿宋_GB2312" w:hAnsi="微软雅黑"/>
          <w:sz w:val="24"/>
          <w:szCs w:val="24"/>
        </w:rPr>
        <w:t xml:space="preserve"> </w:t>
      </w:r>
      <w:bookmarkEnd w:id="36"/>
      <w:bookmarkStart w:id="37" w:name="_Toc1186"/>
      <w:bookmarkEnd w:id="37"/>
      <w:bookmarkStart w:id="38" w:name="_Toc22934"/>
      <w:bookmarkStart w:id="39" w:name="_Toc24695"/>
    </w:p>
    <w:bookmarkEnd w:id="38"/>
    <w:bookmarkEnd w:id="39"/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360" w:lineRule="auto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2.1.2不同专业毕业生规模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我院2023届本科毕业生各专业人数分布如下：园林：65人；城乡规划：41人；土木工程：118人；自然地理与资源环境：43人；建筑：36人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（见图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</w:rPr>
        <w:t>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 w:cs="宋体"/>
          <w:color w:val="000000"/>
          <w:sz w:val="24"/>
          <w:szCs w:val="24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0" w:firstLineChars="0"/>
        <w:textAlignment w:val="auto"/>
      </w:pPr>
      <w:bookmarkStart w:id="40" w:name="_Toc10549"/>
      <w:bookmarkEnd w:id="40"/>
      <w:bookmarkStart w:id="41" w:name="_Toc8788"/>
      <w:bookmarkEnd w:id="41"/>
      <w:r>
        <w:drawing>
          <wp:inline distT="0" distB="0" distL="0" distR="0">
            <wp:extent cx="4579620" cy="2501900"/>
            <wp:effectExtent l="4445" t="4445" r="18415" b="8255"/>
            <wp:docPr id="877556988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</w:pPr>
      <w:r>
        <w:rPr>
          <w:rFonts w:hint="eastAsia" w:eastAsiaTheme="minorEastAsia"/>
          <w:sz w:val="24"/>
          <w:szCs w:val="24"/>
        </w:rPr>
        <w:t>图</w:t>
      </w:r>
      <w:r>
        <w:rPr>
          <w:rFonts w:hint="eastAsia" w:eastAsiaTheme="minorEastAsia"/>
          <w:sz w:val="24"/>
          <w:szCs w:val="24"/>
          <w:lang w:val="en-US" w:eastAsia="zh-CN"/>
        </w:rPr>
        <w:t>5</w:t>
      </w:r>
      <w:r>
        <w:rPr>
          <w:rFonts w:hint="eastAsia" w:eastAsiaTheme="minorEastAsia"/>
          <w:sz w:val="24"/>
          <w:szCs w:val="24"/>
        </w:rPr>
        <w:t>：毕业生各专业分布情况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Theme="minorEastAsia" w:hAnsiTheme="minorEastAsia" w:eastAsiaTheme="minorEastAsia" w:cstheme="minorEastAsia"/>
          <w:b/>
          <w:bCs/>
          <w:color w:val="FF0000"/>
          <w:sz w:val="28"/>
          <w:szCs w:val="28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2.1就业率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截至202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年7月22日，我院202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届本科毕业生离校就业率</w:t>
      </w:r>
      <w:r>
        <w:rPr>
          <w:rFonts w:ascii="宋体" w:hAnsi="宋体" w:cs="宋体"/>
          <w:sz w:val="24"/>
          <w:szCs w:val="24"/>
        </w:rPr>
        <w:t>51.75</w:t>
      </w:r>
      <w:r>
        <w:rPr>
          <w:rFonts w:hint="eastAsia" w:ascii="宋体" w:hAnsi="宋体" w:cs="宋体"/>
          <w:sz w:val="24"/>
          <w:szCs w:val="24"/>
        </w:rPr>
        <w:t>%。截至202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年8月</w:t>
      </w:r>
      <w:r>
        <w:rPr>
          <w:rFonts w:ascii="宋体" w:hAnsi="宋体" w:cs="宋体"/>
          <w:sz w:val="24"/>
          <w:szCs w:val="24"/>
        </w:rPr>
        <w:t>26</w:t>
      </w:r>
      <w:r>
        <w:rPr>
          <w:rFonts w:hint="eastAsia" w:ascii="宋体" w:hAnsi="宋体" w:cs="宋体"/>
          <w:sz w:val="24"/>
          <w:szCs w:val="24"/>
        </w:rPr>
        <w:t>日，我院202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届本科毕业生初次就业率</w:t>
      </w:r>
      <w:r>
        <w:rPr>
          <w:rFonts w:ascii="宋体" w:hAnsi="宋体" w:cs="宋体"/>
          <w:sz w:val="24"/>
          <w:szCs w:val="24"/>
        </w:rPr>
        <w:t>86.22</w:t>
      </w:r>
      <w:r>
        <w:rPr>
          <w:rFonts w:hint="eastAsia" w:ascii="宋体" w:hAnsi="宋体" w:cs="宋体"/>
          <w:sz w:val="24"/>
          <w:szCs w:val="24"/>
        </w:rPr>
        <w:t>%。截至202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年12月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日，我院202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届本科毕业生最终就业率9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1.03</w:t>
      </w:r>
      <w:r>
        <w:rPr>
          <w:rFonts w:hint="eastAsia" w:ascii="宋体" w:hAnsi="宋体" w:cs="宋体"/>
          <w:sz w:val="24"/>
          <w:szCs w:val="24"/>
        </w:rPr>
        <w:t>%。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/>
        <w:textAlignment w:val="auto"/>
        <w:rPr>
          <w:rFonts w:eastAsiaTheme="minorEastAsia"/>
          <w:sz w:val="24"/>
          <w:szCs w:val="24"/>
        </w:rPr>
      </w:pPr>
      <w:bookmarkStart w:id="42" w:name="_Toc3972"/>
      <w:bookmarkStart w:id="43" w:name="_Toc9713"/>
    </w:p>
    <w:bookmarkEnd w:id="42"/>
    <w:bookmarkEnd w:id="43"/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2.1.1</w:t>
      </w:r>
      <w:r>
        <w:rPr>
          <w:rFonts w:hint="eastAsia"/>
          <w:sz w:val="24"/>
          <w:szCs w:val="24"/>
        </w:rPr>
        <w:t>分性别就业率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</w:rPr>
        <w:t>表1：分性别就业率情况</w:t>
      </w:r>
    </w:p>
    <w:tbl>
      <w:tblPr>
        <w:tblStyle w:val="15"/>
        <w:tblW w:w="0" w:type="auto"/>
        <w:tblInd w:w="0" w:type="dxa"/>
        <w:tblBorders>
          <w:top w:val="single" w:color="A8D08D" w:themeColor="accent6" w:themeTint="99" w:sz="4" w:space="0"/>
          <w:left w:val="single" w:color="A8D08D" w:themeColor="accent6" w:themeTint="99" w:sz="4" w:space="0"/>
          <w:bottom w:val="single" w:color="A8D08D" w:themeColor="accent6" w:themeTint="99" w:sz="4" w:space="0"/>
          <w:right w:val="single" w:color="A8D08D" w:themeColor="accent6" w:themeTint="99" w:sz="4" w:space="0"/>
          <w:insideH w:val="single" w:color="A8D08D" w:themeColor="accent6" w:themeTint="99" w:sz="4" w:space="0"/>
          <w:insideV w:val="single" w:color="A8D08D" w:themeColor="accent6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28"/>
        <w:gridCol w:w="1526"/>
        <w:gridCol w:w="1526"/>
        <w:gridCol w:w="1528"/>
        <w:gridCol w:w="1526"/>
      </w:tblGrid>
      <w:tr>
        <w:tblPrEx>
          <w:tblBorders>
            <w:top w:val="single" w:color="A8D08D" w:themeColor="accent6" w:themeTint="99" w:sz="4" w:space="0"/>
            <w:left w:val="single" w:color="A8D08D" w:themeColor="accent6" w:themeTint="99" w:sz="4" w:space="0"/>
            <w:bottom w:val="single" w:color="A8D08D" w:themeColor="accent6" w:themeTint="99" w:sz="4" w:space="0"/>
            <w:right w:val="single" w:color="A8D08D" w:themeColor="accent6" w:themeTint="99" w:sz="4" w:space="0"/>
            <w:insideH w:val="single" w:color="A8D08D" w:themeColor="accent6" w:themeTint="99" w:sz="4" w:space="0"/>
            <w:insideV w:val="single" w:color="A8D08D" w:themeColor="accent6" w:themeTint="99" w:sz="4" w:space="0"/>
          </w:tblBorders>
        </w:tblPrEx>
        <w:trPr>
          <w:trHeight w:val="731" w:hRule="atLeast"/>
        </w:trPr>
        <w:tc>
          <w:tcPr>
            <w:tcW w:w="1526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nil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学历层次</w:t>
            </w:r>
          </w:p>
        </w:tc>
        <w:tc>
          <w:tcPr>
            <w:tcW w:w="1528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526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总人数</w:t>
            </w:r>
            <w:r>
              <w:t>(</w:t>
            </w:r>
            <w:r>
              <w:rPr>
                <w:rFonts w:hint="eastAsia" w:ascii="宋体" w:hAnsi="宋体"/>
              </w:rPr>
              <w:t>人</w:t>
            </w:r>
            <w:r>
              <w:t>)</w:t>
            </w:r>
          </w:p>
        </w:tc>
        <w:tc>
          <w:tcPr>
            <w:tcW w:w="1526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就业人数</w:t>
            </w:r>
            <w:r>
              <w:t>(</w:t>
            </w:r>
            <w:r>
              <w:rPr>
                <w:rFonts w:hint="eastAsia" w:ascii="宋体" w:hAnsi="宋体"/>
              </w:rPr>
              <w:t>人</w:t>
            </w:r>
            <w:r>
              <w:t>)</w:t>
            </w:r>
          </w:p>
        </w:tc>
        <w:tc>
          <w:tcPr>
            <w:tcW w:w="1528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未就业人数</w:t>
            </w:r>
            <w:r>
              <w:t>(</w:t>
            </w:r>
            <w:r>
              <w:rPr>
                <w:rFonts w:hint="eastAsia" w:ascii="宋体" w:hAnsi="宋体"/>
              </w:rPr>
              <w:t>人</w:t>
            </w:r>
            <w:r>
              <w:t>)</w:t>
            </w:r>
          </w:p>
        </w:tc>
        <w:tc>
          <w:tcPr>
            <w:tcW w:w="1526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就业人数百分比</w:t>
            </w:r>
            <w:r>
              <w:t>(%)</w:t>
            </w:r>
          </w:p>
        </w:tc>
      </w:tr>
      <w:tr>
        <w:tblPrEx>
          <w:tblBorders>
            <w:top w:val="single" w:color="A8D08D" w:themeColor="accent6" w:themeTint="99" w:sz="4" w:space="0"/>
            <w:left w:val="single" w:color="A8D08D" w:themeColor="accent6" w:themeTint="99" w:sz="4" w:space="0"/>
            <w:bottom w:val="single" w:color="A8D08D" w:themeColor="accent6" w:themeTint="99" w:sz="4" w:space="0"/>
            <w:right w:val="single" w:color="A8D08D" w:themeColor="accent6" w:themeTint="99" w:sz="4" w:space="0"/>
            <w:insideH w:val="single" w:color="A8D08D" w:themeColor="accent6" w:themeTint="99" w:sz="4" w:space="0"/>
            <w:insideV w:val="single" w:color="A8D08D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vMerge w:val="restart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528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1526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183</w:t>
            </w:r>
          </w:p>
        </w:tc>
        <w:tc>
          <w:tcPr>
            <w:tcW w:w="1526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t>16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28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526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91.26</w:t>
            </w:r>
          </w:p>
        </w:tc>
      </w:tr>
      <w:tr>
        <w:tblPrEx>
          <w:tblBorders>
            <w:top w:val="single" w:color="A8D08D" w:themeColor="accent6" w:themeTint="99" w:sz="4" w:space="0"/>
            <w:left w:val="single" w:color="A8D08D" w:themeColor="accent6" w:themeTint="99" w:sz="4" w:space="0"/>
            <w:bottom w:val="single" w:color="A8D08D" w:themeColor="accent6" w:themeTint="99" w:sz="4" w:space="0"/>
            <w:right w:val="single" w:color="A8D08D" w:themeColor="accent6" w:themeTint="99" w:sz="4" w:space="0"/>
            <w:insideH w:val="single" w:color="A8D08D" w:themeColor="accent6" w:themeTint="99" w:sz="4" w:space="0"/>
            <w:insideV w:val="single" w:color="A8D08D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vMerge w:val="continue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</w:pPr>
          </w:p>
        </w:tc>
        <w:tc>
          <w:tcPr>
            <w:tcW w:w="1528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1526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120</w:t>
            </w:r>
          </w:p>
        </w:tc>
        <w:tc>
          <w:tcPr>
            <w:tcW w:w="1526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t>10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28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526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2.1.2分专业就业率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表2：分专业就业率情况</w:t>
      </w:r>
    </w:p>
    <w:tbl>
      <w:tblPr>
        <w:tblStyle w:val="16"/>
        <w:tblW w:w="0" w:type="auto"/>
        <w:tblInd w:w="0" w:type="dxa"/>
        <w:tblBorders>
          <w:top w:val="single" w:color="A8D08D" w:themeColor="accent6" w:themeTint="99" w:sz="4" w:space="0"/>
          <w:left w:val="single" w:color="A8D08D" w:themeColor="accent6" w:themeTint="99" w:sz="4" w:space="0"/>
          <w:bottom w:val="single" w:color="A8D08D" w:themeColor="accent6" w:themeTint="99" w:sz="4" w:space="0"/>
          <w:right w:val="single" w:color="A8D08D" w:themeColor="accent6" w:themeTint="99" w:sz="4" w:space="0"/>
          <w:insideH w:val="single" w:color="A8D08D" w:themeColor="accent6" w:themeTint="99" w:sz="4" w:space="0"/>
          <w:insideV w:val="single" w:color="A8D08D" w:themeColor="accent6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954"/>
        <w:gridCol w:w="1747"/>
        <w:gridCol w:w="1701"/>
        <w:gridCol w:w="1842"/>
      </w:tblGrid>
      <w:tr>
        <w:tblPrEx>
          <w:tblBorders>
            <w:top w:val="single" w:color="A8D08D" w:themeColor="accent6" w:themeTint="99" w:sz="4" w:space="0"/>
            <w:left w:val="single" w:color="A8D08D" w:themeColor="accent6" w:themeTint="99" w:sz="4" w:space="0"/>
            <w:bottom w:val="single" w:color="A8D08D" w:themeColor="accent6" w:themeTint="99" w:sz="4" w:space="0"/>
            <w:right w:val="single" w:color="A8D08D" w:themeColor="accent6" w:themeTint="99" w:sz="4" w:space="0"/>
            <w:insideH w:val="single" w:color="A8D08D" w:themeColor="accent6" w:themeTint="99" w:sz="4" w:space="0"/>
            <w:insideV w:val="single" w:color="A8D08D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28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学历层次</w:t>
            </w:r>
          </w:p>
        </w:tc>
        <w:tc>
          <w:tcPr>
            <w:tcW w:w="1954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专业名称</w:t>
            </w:r>
          </w:p>
        </w:tc>
        <w:tc>
          <w:tcPr>
            <w:tcW w:w="1747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总人数(人)</w:t>
            </w:r>
          </w:p>
        </w:tc>
        <w:tc>
          <w:tcPr>
            <w:tcW w:w="1701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就业人数(人)</w:t>
            </w:r>
          </w:p>
        </w:tc>
        <w:tc>
          <w:tcPr>
            <w:tcW w:w="1842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百分比(%)</w:t>
            </w:r>
          </w:p>
        </w:tc>
      </w:tr>
      <w:tr>
        <w:tblPrEx>
          <w:tblBorders>
            <w:top w:val="single" w:color="A8D08D" w:themeColor="accent6" w:themeTint="99" w:sz="4" w:space="0"/>
            <w:left w:val="single" w:color="A8D08D" w:themeColor="accent6" w:themeTint="99" w:sz="4" w:space="0"/>
            <w:bottom w:val="single" w:color="A8D08D" w:themeColor="accent6" w:themeTint="99" w:sz="4" w:space="0"/>
            <w:right w:val="single" w:color="A8D08D" w:themeColor="accent6" w:themeTint="99" w:sz="4" w:space="0"/>
            <w:insideH w:val="single" w:color="A8D08D" w:themeColor="accent6" w:themeTint="99" w:sz="4" w:space="0"/>
            <w:insideV w:val="single" w:color="A8D08D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restart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</w:t>
            </w:r>
          </w:p>
        </w:tc>
        <w:tc>
          <w:tcPr>
            <w:tcW w:w="1954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土木工程</w:t>
            </w:r>
          </w:p>
        </w:tc>
        <w:tc>
          <w:tcPr>
            <w:tcW w:w="1747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118</w:t>
            </w:r>
          </w:p>
        </w:tc>
        <w:tc>
          <w:tcPr>
            <w:tcW w:w="1701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</w:t>
            </w:r>
          </w:p>
        </w:tc>
        <w:tc>
          <w:tcPr>
            <w:tcW w:w="1842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93.22</w:t>
            </w:r>
          </w:p>
        </w:tc>
      </w:tr>
      <w:tr>
        <w:tblPrEx>
          <w:tblBorders>
            <w:top w:val="single" w:color="A8D08D" w:themeColor="accent6" w:themeTint="99" w:sz="4" w:space="0"/>
            <w:left w:val="single" w:color="A8D08D" w:themeColor="accent6" w:themeTint="99" w:sz="4" w:space="0"/>
            <w:bottom w:val="single" w:color="A8D08D" w:themeColor="accent6" w:themeTint="99" w:sz="4" w:space="0"/>
            <w:right w:val="single" w:color="A8D08D" w:themeColor="accent6" w:themeTint="99" w:sz="4" w:space="0"/>
            <w:insideH w:val="single" w:color="A8D08D" w:themeColor="accent6" w:themeTint="99" w:sz="4" w:space="0"/>
            <w:insideV w:val="single" w:color="A8D08D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28" w:type="dxa"/>
            <w:vMerge w:val="continue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4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园林</w:t>
            </w:r>
          </w:p>
        </w:tc>
        <w:tc>
          <w:tcPr>
            <w:tcW w:w="1747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65</w:t>
            </w:r>
          </w:p>
        </w:tc>
        <w:tc>
          <w:tcPr>
            <w:tcW w:w="1701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60</w:t>
            </w:r>
          </w:p>
        </w:tc>
        <w:tc>
          <w:tcPr>
            <w:tcW w:w="1842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92.30</w:t>
            </w:r>
          </w:p>
        </w:tc>
      </w:tr>
      <w:tr>
        <w:tblPrEx>
          <w:tblBorders>
            <w:top w:val="single" w:color="A8D08D" w:themeColor="accent6" w:themeTint="99" w:sz="4" w:space="0"/>
            <w:left w:val="single" w:color="A8D08D" w:themeColor="accent6" w:themeTint="99" w:sz="4" w:space="0"/>
            <w:bottom w:val="single" w:color="A8D08D" w:themeColor="accent6" w:themeTint="99" w:sz="4" w:space="0"/>
            <w:right w:val="single" w:color="A8D08D" w:themeColor="accent6" w:themeTint="99" w:sz="4" w:space="0"/>
            <w:insideH w:val="single" w:color="A8D08D" w:themeColor="accent6" w:themeTint="99" w:sz="4" w:space="0"/>
            <w:insideV w:val="single" w:color="A8D08D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28" w:type="dxa"/>
            <w:vMerge w:val="continue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4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城乡规划</w:t>
            </w:r>
          </w:p>
        </w:tc>
        <w:tc>
          <w:tcPr>
            <w:tcW w:w="1747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</w:t>
            </w:r>
          </w:p>
        </w:tc>
        <w:tc>
          <w:tcPr>
            <w:tcW w:w="1701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</w:t>
            </w:r>
          </w:p>
        </w:tc>
        <w:tc>
          <w:tcPr>
            <w:tcW w:w="1842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90.24</w:t>
            </w:r>
          </w:p>
        </w:tc>
      </w:tr>
      <w:tr>
        <w:tblPrEx>
          <w:tblBorders>
            <w:top w:val="single" w:color="A8D08D" w:themeColor="accent6" w:themeTint="99" w:sz="4" w:space="0"/>
            <w:left w:val="single" w:color="A8D08D" w:themeColor="accent6" w:themeTint="99" w:sz="4" w:space="0"/>
            <w:bottom w:val="single" w:color="A8D08D" w:themeColor="accent6" w:themeTint="99" w:sz="4" w:space="0"/>
            <w:right w:val="single" w:color="A8D08D" w:themeColor="accent6" w:themeTint="99" w:sz="4" w:space="0"/>
            <w:insideH w:val="single" w:color="A8D08D" w:themeColor="accent6" w:themeTint="99" w:sz="4" w:space="0"/>
            <w:insideV w:val="single" w:color="A8D08D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28" w:type="dxa"/>
            <w:vMerge w:val="continue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4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548235" w:themeColor="accent6" w:themeShade="BF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自然地理与资源环境</w:t>
            </w:r>
          </w:p>
        </w:tc>
        <w:tc>
          <w:tcPr>
            <w:tcW w:w="1747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43</w:t>
            </w:r>
          </w:p>
        </w:tc>
        <w:tc>
          <w:tcPr>
            <w:tcW w:w="1701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36</w:t>
            </w:r>
          </w:p>
        </w:tc>
        <w:tc>
          <w:tcPr>
            <w:tcW w:w="1842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83.72</w:t>
            </w:r>
          </w:p>
        </w:tc>
      </w:tr>
      <w:tr>
        <w:tblPrEx>
          <w:tblBorders>
            <w:top w:val="single" w:color="A8D08D" w:themeColor="accent6" w:themeTint="99" w:sz="4" w:space="0"/>
            <w:left w:val="single" w:color="A8D08D" w:themeColor="accent6" w:themeTint="99" w:sz="4" w:space="0"/>
            <w:bottom w:val="single" w:color="A8D08D" w:themeColor="accent6" w:themeTint="99" w:sz="4" w:space="0"/>
            <w:right w:val="single" w:color="A8D08D" w:themeColor="accent6" w:themeTint="99" w:sz="4" w:space="0"/>
            <w:insideH w:val="single" w:color="A8D08D" w:themeColor="accent6" w:themeTint="99" w:sz="4" w:space="0"/>
            <w:insideV w:val="single" w:color="A8D08D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28" w:type="dxa"/>
            <w:vMerge w:val="continue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4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548235" w:themeColor="accent6" w:themeShade="BF"/>
                <w:sz w:val="24"/>
              </w:rPr>
            </w:pPr>
            <w:r>
              <w:rPr>
                <w:rFonts w:hint="eastAsia" w:ascii="宋体" w:hAnsi="宋体"/>
                <w:color w:val="548235" w:themeColor="accent6" w:themeShade="BF"/>
                <w:sz w:val="24"/>
              </w:rPr>
              <w:t>建筑</w:t>
            </w:r>
          </w:p>
        </w:tc>
        <w:tc>
          <w:tcPr>
            <w:tcW w:w="1747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</w:t>
            </w:r>
          </w:p>
        </w:tc>
        <w:tc>
          <w:tcPr>
            <w:tcW w:w="1701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29</w:t>
            </w:r>
          </w:p>
        </w:tc>
        <w:tc>
          <w:tcPr>
            <w:tcW w:w="1842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80.55</w:t>
            </w:r>
          </w:p>
        </w:tc>
      </w:tr>
    </w:tbl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（注：表中就业率统计截止日期为</w:t>
      </w:r>
      <w:r>
        <w:rPr>
          <w:bCs/>
          <w:color w:val="000000"/>
          <w:sz w:val="24"/>
          <w:szCs w:val="24"/>
        </w:rPr>
        <w:t>2023</w:t>
      </w:r>
      <w:r>
        <w:rPr>
          <w:rFonts w:hint="eastAsia"/>
          <w:bCs/>
          <w:color w:val="000000"/>
          <w:sz w:val="24"/>
          <w:szCs w:val="24"/>
        </w:rPr>
        <w:t>年</w:t>
      </w:r>
      <w:r>
        <w:rPr>
          <w:bCs/>
          <w:color w:val="000000"/>
          <w:sz w:val="24"/>
          <w:szCs w:val="24"/>
        </w:rPr>
        <w:t>12</w:t>
      </w:r>
      <w:r>
        <w:rPr>
          <w:rFonts w:hint="eastAsia"/>
          <w:bCs/>
          <w:color w:val="000000"/>
          <w:sz w:val="24"/>
          <w:szCs w:val="24"/>
        </w:rPr>
        <w:t>月</w:t>
      </w:r>
      <w:r>
        <w:rPr>
          <w:bCs/>
          <w:color w:val="000000"/>
          <w:sz w:val="24"/>
          <w:szCs w:val="24"/>
        </w:rPr>
        <w:t>2</w:t>
      </w:r>
      <w:r>
        <w:rPr>
          <w:rFonts w:hint="eastAsia"/>
          <w:bCs/>
          <w:color w:val="000000"/>
          <w:sz w:val="24"/>
          <w:szCs w:val="24"/>
          <w:lang w:val="en-US" w:eastAsia="zh-CN"/>
        </w:rPr>
        <w:t>8</w:t>
      </w:r>
      <w:r>
        <w:rPr>
          <w:rFonts w:hint="eastAsia"/>
          <w:bCs/>
          <w:color w:val="000000"/>
          <w:sz w:val="24"/>
          <w:szCs w:val="24"/>
        </w:rPr>
        <w:t>日，下同）</w:t>
      </w: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44" w:name="_Toc11054"/>
      <w:bookmarkEnd w:id="44"/>
      <w:bookmarkStart w:id="45" w:name="_Toc32518"/>
      <w:bookmarkEnd w:id="45"/>
      <w:bookmarkStart w:id="46" w:name="_Toc9290"/>
      <w:bookmarkEnd w:id="46"/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2.2就业结构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360" w:lineRule="auto"/>
        <w:textAlignment w:val="auto"/>
        <w:rPr>
          <w:rFonts w:ascii="宋体" w:hAnsi="宋体" w:cs="宋体"/>
          <w:color w:val="000000"/>
          <w:sz w:val="24"/>
          <w:szCs w:val="24"/>
        </w:rPr>
      </w:pPr>
      <w:bookmarkStart w:id="47" w:name="_Toc25910"/>
      <w:bookmarkEnd w:id="47"/>
      <w:bookmarkStart w:id="48" w:name="_Toc19445"/>
      <w:bookmarkEnd w:id="48"/>
      <w:bookmarkStart w:id="49" w:name="_Toc17280"/>
      <w:bookmarkEnd w:id="49"/>
      <w:r>
        <w:rPr>
          <w:rFonts w:hint="eastAsia" w:ascii="宋体" w:hAnsi="宋体" w:cs="宋体"/>
          <w:color w:val="000000"/>
          <w:sz w:val="24"/>
          <w:szCs w:val="24"/>
        </w:rPr>
        <w:t>2.2.1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就业形式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>我院本科毕业生共</w:t>
      </w:r>
      <w:r>
        <w:rPr>
          <w:rFonts w:ascii="宋体" w:hAnsi="宋体" w:cs="宋体"/>
          <w:color w:val="000000"/>
          <w:sz w:val="24"/>
        </w:rPr>
        <w:t>303</w:t>
      </w:r>
      <w:r>
        <w:rPr>
          <w:rFonts w:hint="eastAsia" w:ascii="宋体" w:hAnsi="宋体" w:cs="宋体"/>
          <w:color w:val="000000"/>
          <w:sz w:val="24"/>
        </w:rPr>
        <w:t>人</w:t>
      </w:r>
      <w:r>
        <w:rPr>
          <w:rFonts w:hint="eastAsia" w:ascii="宋体" w:hAnsi="宋体" w:cs="宋体"/>
          <w:sz w:val="24"/>
        </w:rPr>
        <w:t>，待就业</w:t>
      </w:r>
      <w:r>
        <w:rPr>
          <w:rFonts w:hint="eastAsia" w:ascii="宋体" w:hAnsi="宋体" w:cs="宋体"/>
          <w:sz w:val="24"/>
          <w:lang w:val="en-US" w:eastAsia="zh-CN"/>
        </w:rPr>
        <w:t>28</w:t>
      </w:r>
      <w:r>
        <w:rPr>
          <w:rFonts w:hint="eastAsia" w:ascii="宋体" w:hAnsi="宋体" w:cs="宋体"/>
          <w:sz w:val="24"/>
        </w:rPr>
        <w:t>人，选调生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人，西部计划3人，特岗教师1人，其他录用形式就业</w:t>
      </w:r>
      <w:r>
        <w:rPr>
          <w:rFonts w:ascii="宋体" w:hAnsi="宋体" w:cs="宋体"/>
          <w:sz w:val="24"/>
        </w:rPr>
        <w:t>43</w:t>
      </w:r>
      <w:r>
        <w:rPr>
          <w:rFonts w:hint="eastAsia" w:ascii="宋体" w:hAnsi="宋体" w:cs="宋体"/>
          <w:sz w:val="24"/>
        </w:rPr>
        <w:t>人，签就业协议形式就业9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人，签劳动合同形式就业1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人，升学60人，应征义务兵1人，自由职业53人</w:t>
      </w:r>
      <w:r>
        <w:rPr>
          <w:rFonts w:hint="eastAsia" w:ascii="宋体" w:hAnsi="宋体" w:cs="宋体"/>
          <w:sz w:val="24"/>
          <w:szCs w:val="24"/>
          <w:lang w:eastAsia="zh-CN"/>
        </w:rPr>
        <w:t>（见图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0" distR="0">
            <wp:extent cx="4575175" cy="2740025"/>
            <wp:effectExtent l="4445" t="4445" r="7620" b="13970"/>
            <wp:docPr id="155646045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</w:rPr>
      </w:pPr>
      <w:r>
        <w:rPr>
          <w:rFonts w:hint="eastAsia" w:ascii="宋体" w:hAnsi="宋体" w:cs="宋体"/>
          <w:sz w:val="24"/>
        </w:rPr>
        <w:t>图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：就业形势分布情况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360" w:lineRule="auto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2.2.2行业分布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我院本科毕业生共3</w:t>
      </w:r>
      <w:r>
        <w:rPr>
          <w:rFonts w:ascii="宋体" w:hAnsi="宋体" w:cs="宋体"/>
          <w:sz w:val="24"/>
        </w:rPr>
        <w:t>03</w:t>
      </w:r>
      <w:r>
        <w:rPr>
          <w:rFonts w:hint="eastAsia" w:ascii="宋体" w:hAnsi="宋体" w:cs="宋体"/>
          <w:sz w:val="24"/>
        </w:rPr>
        <w:t>人，</w:t>
      </w:r>
      <w:r>
        <w:rPr>
          <w:rFonts w:hint="eastAsia" w:ascii="宋体" w:hAnsi="宋体" w:cs="宋体"/>
          <w:kern w:val="0"/>
          <w:sz w:val="24"/>
        </w:rPr>
        <w:t>房地产业1人，公共管理、社会保障和社会组织10人，建筑业90人，交通运输、仓储和邮政业1人，教育5人，金融1人，军队1人，居民服务、修理和其他服务业5人，科学研究和技术服务业20人，批发和零售业4人，水利、环境和公共设施管理业1人，信息传输、软件和信息技术服务业3人，住宿和餐饮业2人，租赁和商务服务业4人，其他</w:t>
      </w:r>
      <w:r>
        <w:rPr>
          <w:rFonts w:ascii="宋体" w:hAnsi="宋体" w:cs="宋体"/>
          <w:kern w:val="0"/>
          <w:sz w:val="24"/>
        </w:rPr>
        <w:t>64</w:t>
      </w:r>
      <w:r>
        <w:rPr>
          <w:rFonts w:hint="eastAsia" w:ascii="宋体" w:hAnsi="宋体" w:cs="宋体"/>
          <w:kern w:val="0"/>
          <w:sz w:val="24"/>
        </w:rPr>
        <w:t>人</w:t>
      </w:r>
      <w:r>
        <w:rPr>
          <w:rFonts w:hint="eastAsia" w:ascii="宋体" w:hAnsi="宋体" w:cs="宋体"/>
          <w:sz w:val="24"/>
          <w:szCs w:val="24"/>
          <w:lang w:eastAsia="zh-CN"/>
        </w:rPr>
        <w:t>（见图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0" distR="0">
            <wp:extent cx="4579620" cy="2750820"/>
            <wp:effectExtent l="4445" t="4445" r="6985" b="6985"/>
            <wp:docPr id="100117311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eastAsia" w:asciiTheme="minorEastAsia" w:hAnsiTheme="minorEastAsia" w:eastAsiaTheme="minorEastAsia" w:cstheme="minorEastAsia"/>
          <w:sz w:val="24"/>
        </w:rPr>
        <w:t>图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</w:rPr>
        <w:t>：行业分布情况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504"/>
        <w:jc w:val="center"/>
        <w:textAlignment w:val="auto"/>
        <w:rPr>
          <w:rFonts w:asciiTheme="minorEastAsia" w:hAnsiTheme="minorEastAsia" w:eastAsiaTheme="minorEastAsia" w:cstheme="minor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360" w:lineRule="auto"/>
        <w:textAlignment w:val="auto"/>
        <w:rPr>
          <w:rFonts w:ascii="宋体" w:hAnsi="宋体" w:cs="宋体"/>
          <w:sz w:val="28"/>
          <w:szCs w:val="28"/>
        </w:rPr>
      </w:pPr>
      <w:bookmarkStart w:id="50" w:name="_Toc28934"/>
      <w:bookmarkEnd w:id="50"/>
      <w:bookmarkStart w:id="51" w:name="_Toc16629"/>
      <w:bookmarkEnd w:id="51"/>
      <w:bookmarkStart w:id="52" w:name="_Toc22901"/>
      <w:bookmarkEnd w:id="52"/>
      <w:r>
        <w:rPr>
          <w:rFonts w:hint="eastAsia" w:ascii="宋体" w:hAnsi="宋体" w:cs="宋体"/>
          <w:sz w:val="24"/>
          <w:szCs w:val="24"/>
        </w:rPr>
        <w:t>2.2.3单位流向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bookmarkStart w:id="53" w:name="_Toc19505"/>
      <w:bookmarkEnd w:id="53"/>
      <w:bookmarkStart w:id="54" w:name="_Toc7421"/>
      <w:r>
        <w:rPr>
          <w:rFonts w:hint="eastAsia" w:ascii="宋体" w:hAnsi="宋体" w:cs="宋体"/>
          <w:sz w:val="24"/>
        </w:rPr>
        <w:t>23届毕业生</w:t>
      </w:r>
      <w:r>
        <w:rPr>
          <w:rFonts w:ascii="宋体" w:hAnsi="宋体" w:cs="宋体"/>
          <w:sz w:val="24"/>
        </w:rPr>
        <w:t>303</w:t>
      </w:r>
      <w:r>
        <w:rPr>
          <w:rFonts w:hint="eastAsia" w:ascii="宋体" w:hAnsi="宋体" w:cs="宋体"/>
          <w:sz w:val="24"/>
        </w:rPr>
        <w:t>名。中南大学2人，湘潭大学3人，华南农业大学2人，长沙理工大学1人，中南林业科技大学2人，中国海洋大学1人，西安建筑科技大学1人，西藏农牧学院1人，湖南农业大学2人，吉首大学24人，澳门城市大学1人，桂林理工大学1人，短视频拍摄17人，教育23人，家教兼职6人，中铁方面公司42人，中建四局安装工程有限公司1人，湖南省工程方面有限公司4人，政府工作11人，中科苏州智能计算技术研究院1人，湖南省第四工程有限公司2人，拍摄工作17人，中国核工业二四建设有限公司1人，中国科学院大气物理研究所1人，湖南金弘交通设施有限公司6人，其他1</w:t>
      </w:r>
      <w:r>
        <w:rPr>
          <w:rFonts w:ascii="宋体" w:hAnsi="宋体" w:cs="宋体"/>
          <w:sz w:val="24"/>
        </w:rPr>
        <w:t>31</w:t>
      </w:r>
      <w:r>
        <w:rPr>
          <w:rFonts w:hint="eastAsia" w:ascii="宋体" w:hAnsi="宋体" w:cs="宋体"/>
          <w:sz w:val="24"/>
        </w:rPr>
        <w:t>人</w:t>
      </w:r>
      <w:r>
        <w:rPr>
          <w:rFonts w:hint="eastAsia" w:ascii="宋体" w:hAnsi="宋体" w:cs="宋体"/>
          <w:sz w:val="24"/>
          <w:szCs w:val="24"/>
          <w:lang w:eastAsia="zh-CN"/>
        </w:rPr>
        <w:t>（见图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eastAsia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eastAsia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eastAsia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eastAsia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eastAsia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eastAsia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drawing>
          <wp:inline distT="0" distB="0" distL="0" distR="0">
            <wp:extent cx="5274310" cy="3076575"/>
            <wp:effectExtent l="5080" t="4445" r="16510" b="5080"/>
            <wp:docPr id="453032286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eastAsiaTheme="minorEastAsia"/>
          <w:sz w:val="24"/>
          <w:szCs w:val="24"/>
        </w:rPr>
        <w:t>图8：单位流向区域情况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textAlignment w:val="auto"/>
        <w:rPr>
          <w:rFonts w:eastAsia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eastAsia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</w:p>
    <w:bookmarkEnd w:id="54"/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360" w:lineRule="auto"/>
        <w:textAlignment w:val="auto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2.3地区分布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sz w:val="24"/>
          <w:szCs w:val="24"/>
        </w:rPr>
      </w:pPr>
      <w:bookmarkStart w:id="55" w:name="_Toc10001"/>
      <w:bookmarkEnd w:id="55"/>
      <w:r>
        <w:rPr>
          <w:sz w:val="24"/>
          <w:szCs w:val="24"/>
        </w:rPr>
        <w:t>2.3.1 大区域分布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我院本科毕业生共303人，东北地区6人，华东地区7人，华北地区15人，中南地区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56人，西南地区6人，西北地区13人。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2.3.2重点经济发达地区分布（按长三角、珠三角、环渤海统计）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Theme="minorEastAsia"/>
          <w:sz w:val="24"/>
          <w:szCs w:val="24"/>
        </w:rPr>
      </w:pPr>
      <w:bookmarkStart w:id="56" w:name="_Toc31481"/>
      <w:bookmarkEnd w:id="56"/>
      <w:r>
        <w:rPr>
          <w:rFonts w:eastAsiaTheme="minorEastAsia"/>
          <w:color w:val="000000"/>
          <w:sz w:val="24"/>
          <w:szCs w:val="24"/>
        </w:rPr>
        <w:t>我院本科毕业生在重点经济发达地区分布情况，</w:t>
      </w:r>
      <w:r>
        <w:rPr>
          <w:rFonts w:eastAsiaTheme="minorEastAsia"/>
          <w:sz w:val="24"/>
          <w:szCs w:val="24"/>
        </w:rPr>
        <w:t>珠三角13人，长三角10人，环渤海9人</w:t>
      </w:r>
      <w:r>
        <w:rPr>
          <w:rFonts w:hint="eastAsia"/>
          <w:sz w:val="24"/>
          <w:szCs w:val="24"/>
          <w:lang w:eastAsia="zh-CN"/>
        </w:rPr>
        <w:t>（见图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eastAsia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eastAsia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eastAsia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eastAsia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eastAsia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eastAsia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drawing>
          <wp:inline distT="0" distB="0" distL="0" distR="0">
            <wp:extent cx="5274310" cy="3076575"/>
            <wp:effectExtent l="5080" t="4445" r="8890" b="12700"/>
            <wp:docPr id="9140003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图</w:t>
      </w:r>
      <w:r>
        <w:rPr>
          <w:rFonts w:hint="eastAsia" w:eastAsiaTheme="minorEastAsia"/>
          <w:sz w:val="24"/>
          <w:szCs w:val="24"/>
          <w:lang w:val="en-US" w:eastAsia="zh-CN"/>
        </w:rPr>
        <w:t>9</w:t>
      </w:r>
      <w:r>
        <w:rPr>
          <w:rFonts w:hint="eastAsia" w:eastAsiaTheme="minorEastAsia"/>
          <w:sz w:val="24"/>
          <w:szCs w:val="24"/>
        </w:rPr>
        <w:t>：就业流向区域情况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textAlignment w:val="auto"/>
        <w:rPr>
          <w:rFonts w:eastAsia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</w:pPr>
      <w:bookmarkStart w:id="57" w:name="_Toc19648"/>
      <w:bookmarkStart w:id="58" w:name="_Toc14466"/>
      <w:bookmarkStart w:id="59" w:name="_Toc26154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57" w:beforeLines="1300" w:after="624" w:afterLines="200" w:line="360" w:lineRule="auto"/>
        <w:ind w:firstLine="1601" w:firstLineChars="500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57" w:beforeLines="1300" w:after="624" w:afterLines="200" w:line="360" w:lineRule="auto"/>
        <w:ind w:firstLine="1601" w:firstLineChars="500"/>
        <w:jc w:val="both"/>
        <w:textAlignment w:val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三、毕业生就业岗位分析</w:t>
      </w:r>
    </w:p>
    <w:bookmarkEnd w:id="57"/>
    <w:bookmarkEnd w:id="58"/>
    <w:bookmarkEnd w:id="59"/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3.1毕业生薪酬状况（统计各实际月薪区间人数和比例）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根据我院对毕业生的抽样回访调查，60名毕业生中月薪范围在1500以下的人数为0，占比0％，1500-3000的人数为9人，占比</w:t>
      </w:r>
      <w:r>
        <w:rPr>
          <w:rFonts w:hint="eastAsia" w:eastAsiaTheme="minorEastAsia"/>
          <w:color w:val="000000"/>
          <w:sz w:val="24"/>
          <w:szCs w:val="24"/>
        </w:rPr>
        <w:t>1</w:t>
      </w:r>
      <w:r>
        <w:rPr>
          <w:rFonts w:eastAsiaTheme="minorEastAsia"/>
          <w:color w:val="000000"/>
          <w:sz w:val="24"/>
          <w:szCs w:val="24"/>
        </w:rPr>
        <w:t>5％，3000-5000的人数为33人，占比55％，5000以上的人数为18人，占比30%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（见图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）</w:t>
      </w:r>
      <w:r>
        <w:rPr>
          <w:rFonts w:eastAsiaTheme="minorEastAsia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drawing>
          <wp:inline distT="0" distB="0" distL="0" distR="0">
            <wp:extent cx="5274310" cy="3076575"/>
            <wp:effectExtent l="5080" t="4445" r="8890" b="12700"/>
            <wp:docPr id="257097572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：毕业生薪酬情况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 w:eastAsiaTheme="majorEastAsia"/>
          <w:sz w:val="28"/>
          <w:szCs w:val="28"/>
        </w:rPr>
      </w:pPr>
      <w:bookmarkStart w:id="60" w:name="_Toc14676"/>
      <w:bookmarkEnd w:id="60"/>
      <w:bookmarkStart w:id="61" w:name="_Toc24347"/>
      <w:bookmarkEnd w:id="61"/>
      <w:bookmarkStart w:id="62" w:name="_Toc21974"/>
      <w:bookmarkEnd w:id="62"/>
      <w:r>
        <w:rPr>
          <w:rFonts w:ascii="Times New Roman" w:hAnsi="Times New Roman" w:cs="Times New Roman" w:eastAsiaTheme="majorEastAsia"/>
          <w:sz w:val="28"/>
          <w:szCs w:val="28"/>
        </w:rPr>
        <w:t>3.2工作职位类别分布（统计各工作职位类别人数和比例）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根据我院对毕业生的工作职业类别分布的统计，已统计的312名毕业生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中以办事人员和有关人员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eastAsiaTheme="minorEastAsia"/>
          <w:color w:val="000000"/>
          <w:sz w:val="24"/>
          <w:szCs w:val="24"/>
        </w:rPr>
        <w:t>教学人员5人、金融业务人员为</w:t>
      </w:r>
      <w:r>
        <w:rPr>
          <w:rFonts w:hint="eastAsia" w:eastAsiaTheme="minorEastAsia"/>
          <w:color w:val="000000"/>
          <w:sz w:val="24"/>
          <w:szCs w:val="24"/>
        </w:rPr>
        <w:t>1</w:t>
      </w:r>
      <w:r>
        <w:rPr>
          <w:rFonts w:eastAsiaTheme="minorEastAsia"/>
          <w:color w:val="000000"/>
          <w:sz w:val="24"/>
          <w:szCs w:val="24"/>
        </w:rPr>
        <w:t>人</w:t>
      </w:r>
      <w:r>
        <w:rPr>
          <w:rFonts w:hint="eastAsia" w:eastAsiaTheme="minorEastAsia"/>
          <w:color w:val="000000"/>
          <w:sz w:val="24"/>
          <w:szCs w:val="24"/>
        </w:rPr>
        <w:t>共占比2</w:t>
      </w:r>
      <w:r>
        <w:rPr>
          <w:rFonts w:eastAsiaTheme="minorEastAsia"/>
          <w:color w:val="000000"/>
          <w:sz w:val="24"/>
          <w:szCs w:val="24"/>
        </w:rPr>
        <w:t>.56%</w:t>
      </w:r>
      <w:r>
        <w:rPr>
          <w:rFonts w:hint="eastAsia" w:eastAsiaTheme="minorEastAsia"/>
          <w:color w:val="000000"/>
          <w:sz w:val="24"/>
          <w:szCs w:val="24"/>
        </w:rPr>
        <w:t>，其他人员为2</w:t>
      </w:r>
      <w:r>
        <w:rPr>
          <w:rFonts w:eastAsiaTheme="minorEastAsia"/>
          <w:color w:val="000000"/>
          <w:sz w:val="24"/>
          <w:szCs w:val="24"/>
        </w:rPr>
        <w:t>43</w:t>
      </w:r>
      <w:r>
        <w:rPr>
          <w:rFonts w:hint="eastAsia" w:eastAsiaTheme="minorEastAsia"/>
          <w:color w:val="000000"/>
          <w:sz w:val="24"/>
          <w:szCs w:val="24"/>
        </w:rPr>
        <w:t>人占比</w:t>
      </w:r>
      <w:r>
        <w:rPr>
          <w:rFonts w:eastAsiaTheme="minorEastAsia"/>
          <w:color w:val="000000"/>
          <w:sz w:val="24"/>
          <w:szCs w:val="24"/>
        </w:rPr>
        <w:t>97.44%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（见图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eastAsiaTheme="minorEastAsia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0" distR="0">
            <wp:extent cx="5274310" cy="3076575"/>
            <wp:effectExtent l="5080" t="4445" r="8890" b="12700"/>
            <wp:docPr id="656400531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cs="Times New Roman" w:eastAsiaTheme="majorEastAsia"/>
          <w:sz w:val="28"/>
          <w:szCs w:val="28"/>
        </w:rPr>
      </w:pPr>
      <w:bookmarkStart w:id="63" w:name="_Toc9238"/>
      <w:bookmarkStart w:id="64" w:name="_Toc21801"/>
      <w:r>
        <w:rPr>
          <w:rFonts w:hint="eastAsia"/>
          <w:sz w:val="24"/>
          <w:szCs w:val="24"/>
        </w:rPr>
        <w:t>图1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：工作职位类别分布情况</w:t>
      </w:r>
      <w:bookmarkStart w:id="65" w:name="_Toc27844"/>
    </w:p>
    <w:bookmarkEnd w:id="63"/>
    <w:bookmarkEnd w:id="64"/>
    <w:bookmarkEnd w:id="65"/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</w:pPr>
    </w:p>
    <w:p>
      <w:pPr>
        <w:pStyle w:val="3"/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3.3岗位匹配情况（统计岗位匹配人数和比例）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/>
          <w:sz w:val="24"/>
          <w:szCs w:val="24"/>
        </w:rPr>
        <w:t>我院统计的312名毕业生中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，工作岗位与专业匹配的人数为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68人，占比为53.85％，工作岗位与专业不匹配的人数为144人，占比为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6.15％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（见图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）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3076575"/>
            <wp:effectExtent l="5080" t="4445" r="8890" b="12700"/>
            <wp:docPr id="1262996190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color w:val="000000"/>
          <w:sz w:val="32"/>
          <w:szCs w:val="32"/>
        </w:rPr>
      </w:pPr>
      <w:r>
        <w:rPr>
          <w:rFonts w:hint="eastAsia"/>
          <w:sz w:val="24"/>
          <w:szCs w:val="24"/>
        </w:rPr>
        <w:t>图1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：岗位匹配情况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624" w:beforeLines="200" w:after="624" w:afterLines="200" w:line="360" w:lineRule="auto"/>
        <w:jc w:val="center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四、毕业生就业趋势分析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  <w:bookmarkStart w:id="66" w:name="_Toc28870"/>
      <w:bookmarkEnd w:id="66"/>
      <w:bookmarkStart w:id="67" w:name="_Toc23702"/>
      <w:bookmarkEnd w:id="67"/>
      <w:bookmarkStart w:id="68" w:name="_Toc24820"/>
      <w:bookmarkEnd w:id="68"/>
      <w:r>
        <w:rPr>
          <w:rFonts w:ascii="Times New Roman" w:hAnsi="Times New Roman" w:cs="Times New Roman"/>
          <w:sz w:val="28"/>
          <w:szCs w:val="28"/>
        </w:rPr>
        <w:t>4.1就业率变化情况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360" w:lineRule="auto"/>
        <w:textAlignment w:val="auto"/>
        <w:rPr>
          <w:rFonts w:eastAsiaTheme="majorEastAsia"/>
          <w:sz w:val="24"/>
          <w:szCs w:val="24"/>
        </w:rPr>
      </w:pPr>
      <w:bookmarkStart w:id="69" w:name="_Toc5160"/>
      <w:bookmarkEnd w:id="69"/>
      <w:bookmarkStart w:id="70" w:name="_Toc25114"/>
      <w:bookmarkEnd w:id="70"/>
      <w:bookmarkStart w:id="71" w:name="_Toc13932"/>
      <w:bookmarkEnd w:id="71"/>
      <w:r>
        <w:rPr>
          <w:rFonts w:eastAsiaTheme="majorEastAsia"/>
          <w:sz w:val="24"/>
          <w:szCs w:val="24"/>
        </w:rPr>
        <w:t>4.1.1总体情况（含毕业生规模、就业率）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2021年本科毕业生240人，</w:t>
      </w:r>
      <w:r>
        <w:rPr>
          <w:rFonts w:hint="eastAsia" w:eastAsiaTheme="minorEastAsia"/>
          <w:color w:val="000000"/>
          <w:sz w:val="24"/>
          <w:szCs w:val="24"/>
        </w:rPr>
        <w:t>91.58</w:t>
      </w:r>
      <w:r>
        <w:rPr>
          <w:rFonts w:eastAsiaTheme="minorEastAsia"/>
          <w:color w:val="000000"/>
          <w:sz w:val="24"/>
          <w:szCs w:val="24"/>
        </w:rPr>
        <w:t>％，2022年本科毕业生298人，90.94%</w:t>
      </w:r>
      <w:r>
        <w:rPr>
          <w:rFonts w:hint="eastAsia" w:eastAsiaTheme="minorEastAsia"/>
          <w:color w:val="000000"/>
          <w:sz w:val="24"/>
          <w:szCs w:val="24"/>
        </w:rPr>
        <w:t>，2</w:t>
      </w:r>
      <w:r>
        <w:rPr>
          <w:rFonts w:eastAsiaTheme="minorEastAsia"/>
          <w:color w:val="000000"/>
          <w:sz w:val="24"/>
          <w:szCs w:val="24"/>
        </w:rPr>
        <w:t>023</w:t>
      </w:r>
      <w:r>
        <w:rPr>
          <w:rFonts w:hint="eastAsia" w:eastAsiaTheme="minorEastAsia"/>
          <w:color w:val="000000"/>
          <w:sz w:val="24"/>
          <w:szCs w:val="24"/>
        </w:rPr>
        <w:t>年本科毕业生</w:t>
      </w:r>
      <w:r>
        <w:rPr>
          <w:rFonts w:eastAsiaTheme="minorEastAsia"/>
          <w:color w:val="000000"/>
          <w:sz w:val="24"/>
          <w:szCs w:val="24"/>
        </w:rPr>
        <w:t>303</w:t>
      </w:r>
      <w:r>
        <w:rPr>
          <w:rFonts w:hint="eastAsia" w:eastAsiaTheme="minorEastAsia"/>
          <w:color w:val="000000"/>
          <w:sz w:val="24"/>
          <w:szCs w:val="24"/>
        </w:rPr>
        <w:t>人，9</w:t>
      </w:r>
      <w:r>
        <w:rPr>
          <w:rFonts w:hint="eastAsia" w:eastAsiaTheme="minorEastAsia"/>
          <w:color w:val="000000"/>
          <w:sz w:val="24"/>
          <w:szCs w:val="24"/>
          <w:lang w:val="en-US" w:eastAsia="zh-CN"/>
        </w:rPr>
        <w:t>1.03</w:t>
      </w:r>
      <w:r>
        <w:rPr>
          <w:rFonts w:hint="eastAsia" w:eastAsiaTheme="minorEastAsia"/>
          <w:color w:val="000000"/>
          <w:sz w:val="24"/>
          <w:szCs w:val="24"/>
        </w:rPr>
        <w:t>％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（见图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Theme="minorEastAsia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drawing>
          <wp:inline distT="0" distB="0" distL="0" distR="0">
            <wp:extent cx="5274310" cy="3076575"/>
            <wp:effectExtent l="5080" t="4445" r="16510" b="5080"/>
            <wp:docPr id="1889043161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图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 w:hAnsi="宋体" w:cs="宋体"/>
          <w:color w:val="0000FF"/>
          <w:sz w:val="24"/>
          <w:szCs w:val="24"/>
        </w:rPr>
        <w:t>：</w:t>
      </w:r>
      <w:r>
        <w:rPr>
          <w:rFonts w:hint="eastAsia" w:ascii="宋体" w:hAnsi="宋体" w:cs="宋体"/>
          <w:color w:val="000000"/>
          <w:sz w:val="24"/>
          <w:szCs w:val="24"/>
        </w:rPr>
        <w:t>就业率变化总体情况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360" w:lineRule="auto"/>
        <w:textAlignment w:val="auto"/>
        <w:rPr>
          <w:sz w:val="28"/>
          <w:szCs w:val="28"/>
        </w:rPr>
      </w:pPr>
      <w:bookmarkStart w:id="72" w:name="_Toc13340"/>
      <w:bookmarkEnd w:id="72"/>
      <w:bookmarkStart w:id="73" w:name="_Toc32564"/>
      <w:bookmarkEnd w:id="73"/>
      <w:bookmarkStart w:id="74" w:name="_Toc10229"/>
      <w:bookmarkEnd w:id="74"/>
      <w:r>
        <w:rPr>
          <w:sz w:val="24"/>
          <w:szCs w:val="24"/>
        </w:rPr>
        <w:t>4.1.2不同学历就业率变化情况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2021年研究生毕业生12人，就业率100%。2021年本科生毕业生240人，就业率91.58%。2022年研究生毕业生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人，就业人数7人，就业率7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7.78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％。2022年本科生毕业生298人，就业率90.94 %。202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年研究生毕业生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人，就业率100%。202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年本科生毕业生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303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人，就业率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1.03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（见图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14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drawing>
          <wp:inline distT="0" distB="0" distL="0" distR="0">
            <wp:extent cx="5114290" cy="2557145"/>
            <wp:effectExtent l="4445" t="4445" r="5715" b="10160"/>
            <wp:docPr id="841258955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图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14</w:t>
      </w:r>
      <w:r>
        <w:rPr>
          <w:rFonts w:hint="eastAsia" w:ascii="宋体" w:hAnsi="宋体" w:cs="宋体"/>
          <w:color w:val="000000"/>
          <w:sz w:val="24"/>
          <w:szCs w:val="24"/>
        </w:rPr>
        <w:t>：不同学历就业率变化情况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  <w:rPr>
          <w:rFonts w:eastAsia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4.2就业</w:t>
      </w:r>
      <w:r>
        <w:rPr>
          <w:rFonts w:hint="eastAsia" w:ascii="Times New Roman" w:hAnsi="Times New Roman" w:cs="Times New Roman"/>
          <w:sz w:val="28"/>
          <w:szCs w:val="28"/>
        </w:rPr>
        <w:t>结构</w:t>
      </w:r>
      <w:r>
        <w:rPr>
          <w:rFonts w:ascii="Times New Roman" w:hAnsi="Times New Roman" w:cs="Times New Roman"/>
          <w:sz w:val="28"/>
          <w:szCs w:val="28"/>
        </w:rPr>
        <w:t>变化情况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4.2.1</w:t>
      </w:r>
      <w:r>
        <w:rPr>
          <w:rFonts w:hint="eastAsia"/>
          <w:sz w:val="24"/>
          <w:szCs w:val="24"/>
        </w:rPr>
        <w:t>就业形式变化情况（统计各种比例）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就业形势变化统计情况，见图</w:t>
      </w:r>
      <w:r>
        <w:rPr>
          <w:rFonts w:hint="eastAsia"/>
          <w:sz w:val="24"/>
          <w:szCs w:val="24"/>
          <w:lang w:val="en-US" w:eastAsia="zh-CN"/>
        </w:rPr>
        <w:t>15：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3076575"/>
            <wp:effectExtent l="5080" t="4445" r="16510" b="5080"/>
            <wp:docPr id="148850345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：就业形式变化情况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360" w:lineRule="auto"/>
        <w:textAlignment w:val="auto"/>
        <w:rPr>
          <w:rFonts w:eastAsiaTheme="majorEastAsia"/>
          <w:sz w:val="24"/>
          <w:szCs w:val="24"/>
        </w:rPr>
      </w:pPr>
      <w:bookmarkStart w:id="75" w:name="_Toc2430"/>
      <w:bookmarkEnd w:id="75"/>
      <w:bookmarkStart w:id="76" w:name="_Toc13504"/>
      <w:bookmarkEnd w:id="76"/>
      <w:bookmarkStart w:id="77" w:name="_Toc5526"/>
      <w:bookmarkEnd w:id="77"/>
      <w:r>
        <w:rPr>
          <w:rFonts w:eastAsiaTheme="majorEastAsia"/>
          <w:sz w:val="24"/>
          <w:szCs w:val="24"/>
        </w:rPr>
        <w:t>4.2.2就业单位流向变化情况（统计各单位性质比例）</w:t>
      </w:r>
    </w:p>
    <w:p>
      <w:pPr>
        <w:ind w:firstLine="480" w:firstLineChars="200"/>
        <w:rPr>
          <w:rFonts w:hint="eastAsia" w:eastAsiaTheme="major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就业单位流向变化及</w:t>
      </w:r>
      <w:r>
        <w:rPr>
          <w:rFonts w:eastAsiaTheme="majorEastAsia"/>
          <w:sz w:val="24"/>
          <w:szCs w:val="24"/>
        </w:rPr>
        <w:t>单位性质比例</w:t>
      </w:r>
      <w:r>
        <w:rPr>
          <w:rFonts w:hint="eastAsia"/>
          <w:sz w:val="24"/>
          <w:szCs w:val="24"/>
          <w:lang w:eastAsia="zh-CN"/>
        </w:rPr>
        <w:t>统计情况，见图</w:t>
      </w:r>
      <w:r>
        <w:rPr>
          <w:rFonts w:hint="eastAsia"/>
          <w:sz w:val="24"/>
          <w:szCs w:val="24"/>
          <w:lang w:val="en-US" w:eastAsia="zh-CN"/>
        </w:rPr>
        <w:t>16，表3：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4"/>
        </w:rPr>
      </w:pPr>
      <w:r>
        <w:rPr>
          <w:rFonts w:hint="eastAsia"/>
          <w:szCs w:val="24"/>
        </w:rPr>
        <w:drawing>
          <wp:inline distT="0" distB="0" distL="0" distR="0">
            <wp:extent cx="5274310" cy="3076575"/>
            <wp:effectExtent l="5080" t="4445" r="16510" b="5080"/>
            <wp:docPr id="68471749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color w:val="0000FF"/>
          <w:sz w:val="24"/>
          <w:szCs w:val="24"/>
        </w:rPr>
        <w:t>：</w:t>
      </w:r>
      <w:r>
        <w:rPr>
          <w:rFonts w:hint="eastAsia"/>
          <w:sz w:val="24"/>
          <w:szCs w:val="24"/>
        </w:rPr>
        <w:t>就业单位流向变化情况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color w:val="0000FF"/>
          <w:sz w:val="24"/>
          <w:szCs w:val="24"/>
        </w:rPr>
        <w:t>：</w:t>
      </w:r>
      <w:r>
        <w:rPr>
          <w:rFonts w:hint="eastAsia"/>
          <w:sz w:val="24"/>
          <w:szCs w:val="24"/>
        </w:rPr>
        <w:t>本科生单位流向性质情况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rPr>
          <w:sz w:val="24"/>
          <w:szCs w:val="24"/>
        </w:rPr>
      </w:pPr>
    </w:p>
    <w:tbl>
      <w:tblPr>
        <w:tblStyle w:val="26"/>
        <w:tblW w:w="9260" w:type="dxa"/>
        <w:tblInd w:w="0" w:type="dxa"/>
        <w:tblBorders>
          <w:top w:val="single" w:color="8EAADB" w:themeColor="accent5" w:themeTint="99" w:sz="4" w:space="0"/>
          <w:left w:val="single" w:color="8EAADB" w:themeColor="accent5" w:themeTint="99" w:sz="4" w:space="0"/>
          <w:bottom w:val="single" w:color="8EAADB" w:themeColor="accent5" w:themeTint="99" w:sz="4" w:space="0"/>
          <w:right w:val="single" w:color="8EAADB" w:themeColor="accent5" w:themeTint="99" w:sz="4" w:space="0"/>
          <w:insideH w:val="single" w:color="8EAADB" w:themeColor="accent5" w:themeTint="99" w:sz="4" w:space="0"/>
          <w:insideV w:val="single" w:color="8EAADB" w:themeColor="accent5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4050"/>
        <w:gridCol w:w="1707"/>
        <w:gridCol w:w="1740"/>
      </w:tblGrid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6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4050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707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740" w:type="dxa"/>
            <w:tcBorders>
              <w:top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  <w:insideH w:val="single" w:sz="4" w:space="0"/>
              <w:insideV w:val="nil"/>
            </w:tcBorders>
            <w:shd w:val="clear" w:color="auto" w:fill="4472C4" w:themeFill="accent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restart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4050" w:type="dxa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部队</w:t>
            </w:r>
          </w:p>
        </w:tc>
        <w:tc>
          <w:tcPr>
            <w:tcW w:w="1707" w:type="dxa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出国、出境</w:t>
            </w: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0.9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地方基层项目</w:t>
            </w:r>
          </w:p>
        </w:tc>
        <w:tc>
          <w:tcPr>
            <w:tcW w:w="1707" w:type="dxa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国家基层项目</w:t>
            </w: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国有企业</w:t>
            </w:r>
          </w:p>
        </w:tc>
        <w:tc>
          <w:tcPr>
            <w:tcW w:w="1707" w:type="dxa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740" w:type="dxa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33.5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机关</w:t>
            </w: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4.5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科研设计单位</w:t>
            </w:r>
          </w:p>
        </w:tc>
        <w:tc>
          <w:tcPr>
            <w:tcW w:w="1707" w:type="dxa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40" w:type="dxa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其他教学单位</w:t>
            </w: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农村建制村</w:t>
            </w:r>
          </w:p>
        </w:tc>
        <w:tc>
          <w:tcPr>
            <w:tcW w:w="1707" w:type="dxa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其他企业</w:t>
            </w: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29.4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其他事业单位</w:t>
            </w:r>
          </w:p>
        </w:tc>
        <w:tc>
          <w:tcPr>
            <w:tcW w:w="1707" w:type="dxa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shd w:val="clear" w:color="auto" w:fill="D9E2F3" w:themeFill="accent5" w:themeFillTint="3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升学</w:t>
            </w: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27.1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360" w:lineRule="auto"/>
        <w:textAlignment w:val="auto"/>
        <w:rPr>
          <w:rFonts w:eastAsiaTheme="majorEastAsia"/>
          <w:sz w:val="24"/>
          <w:szCs w:val="24"/>
        </w:rPr>
      </w:pPr>
      <w:bookmarkStart w:id="78" w:name="_Toc15113"/>
      <w:bookmarkEnd w:id="78"/>
      <w:bookmarkStart w:id="79" w:name="_Toc18691"/>
      <w:bookmarkEnd w:id="79"/>
      <w:bookmarkStart w:id="80" w:name="_Toc22143"/>
      <w:bookmarkEnd w:id="80"/>
      <w:r>
        <w:rPr>
          <w:rFonts w:eastAsiaTheme="majorEastAsia"/>
          <w:sz w:val="24"/>
          <w:szCs w:val="24"/>
        </w:rPr>
        <w:t>4.2.3就业地区分布变化情况（统计7大区域等比例）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（1）7大区域分布变化情况</w:t>
      </w:r>
      <w:r>
        <w:rPr>
          <w:rFonts w:hint="eastAsia"/>
          <w:sz w:val="24"/>
          <w:szCs w:val="24"/>
        </w:rPr>
        <w:t>（本科生）</w:t>
      </w:r>
    </w:p>
    <w:p>
      <w:pPr>
        <w:spacing w:beforeAutospacing="0" w:afterAutospacing="0" w:line="36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按</w:t>
      </w:r>
      <w:r>
        <w:rPr>
          <w:sz w:val="24"/>
          <w:szCs w:val="24"/>
        </w:rPr>
        <w:t>7大区域分布变化情况</w:t>
      </w:r>
      <w:r>
        <w:rPr>
          <w:rFonts w:hint="eastAsia"/>
          <w:sz w:val="24"/>
          <w:szCs w:val="24"/>
          <w:lang w:eastAsia="zh-CN"/>
        </w:rPr>
        <w:t>统计情况，见图</w:t>
      </w:r>
      <w:r>
        <w:rPr>
          <w:rFonts w:hint="eastAsia"/>
          <w:sz w:val="24"/>
          <w:szCs w:val="24"/>
          <w:lang w:val="en-US" w:eastAsia="zh-CN"/>
        </w:rPr>
        <w:t>17：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drawing>
          <wp:inline distT="0" distB="0" distL="0" distR="0">
            <wp:extent cx="5274310" cy="3076575"/>
            <wp:effectExtent l="5080" t="4445" r="8890" b="12700"/>
            <wp:docPr id="946981751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图</w:t>
      </w:r>
      <w:r>
        <w:rPr>
          <w:rFonts w:hint="eastAsia" w:ascii="宋体" w:hAnsi="宋体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sz w:val="24"/>
          <w:szCs w:val="24"/>
        </w:rPr>
        <w:t>：7大区域分布变化情况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重点经济发达地区分布变化情况（按长三角、珠三角、环渤海统计）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</w:t>
      </w:r>
      <w:r>
        <w:rPr>
          <w:sz w:val="24"/>
          <w:szCs w:val="24"/>
        </w:rPr>
        <w:t>重点经济发达地区分布情况</w:t>
      </w:r>
      <w:r>
        <w:rPr>
          <w:rFonts w:hint="eastAsia"/>
          <w:sz w:val="24"/>
          <w:szCs w:val="24"/>
          <w:lang w:eastAsia="zh-CN"/>
        </w:rPr>
        <w:t>统计情况，见图</w:t>
      </w:r>
      <w:r>
        <w:rPr>
          <w:rFonts w:hint="eastAsia"/>
          <w:sz w:val="24"/>
          <w:szCs w:val="24"/>
          <w:lang w:val="en-US" w:eastAsia="zh-CN"/>
        </w:rPr>
        <w:t>18：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inline distT="0" distB="0" distL="0" distR="0">
            <wp:extent cx="5274310" cy="3076575"/>
            <wp:effectExtent l="5080" t="4445" r="8890" b="12700"/>
            <wp:docPr id="1728900286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bookmarkStart w:id="81" w:name="_Toc13813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1200" w:firstLineChars="500"/>
        <w:jc w:val="center"/>
        <w:textAlignment w:val="auto"/>
        <w:rPr>
          <w:rFonts w:eastAsiaTheme="majorEastAsia"/>
          <w:b/>
          <w:bCs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图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：重点经济发达地区分布变化情况</w:t>
      </w:r>
      <w:bookmarkEnd w:id="81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624" w:beforeLines="200" w:beforeAutospacing="0" w:after="624" w:afterLines="200" w:afterAutospacing="0" w:line="360" w:lineRule="auto"/>
        <w:jc w:val="center"/>
        <w:textAlignment w:val="auto"/>
        <w:outlineLvl w:val="0"/>
        <w:rPr>
          <w:rFonts w:eastAsiaTheme="majorEastAsia"/>
          <w:b/>
          <w:bCs/>
          <w:sz w:val="32"/>
          <w:szCs w:val="32"/>
        </w:rPr>
      </w:pPr>
      <w:r>
        <w:rPr>
          <w:rFonts w:eastAsiaTheme="majorEastAsia"/>
          <w:b/>
          <w:bCs/>
          <w:sz w:val="32"/>
          <w:szCs w:val="32"/>
        </w:rPr>
        <w:t>五、</w:t>
      </w:r>
      <w:r>
        <w:rPr>
          <w:rFonts w:hint="eastAsia" w:eastAsia="宋体"/>
          <w:b/>
          <w:bCs/>
          <w:sz w:val="32"/>
          <w:szCs w:val="32"/>
          <w:lang w:eastAsia="zh-CN"/>
        </w:rPr>
        <w:t>学院创业就业工作</w:t>
      </w:r>
      <w:r>
        <w:rPr>
          <w:rFonts w:eastAsiaTheme="majorEastAsia"/>
          <w:b/>
          <w:bCs/>
          <w:sz w:val="32"/>
          <w:szCs w:val="32"/>
        </w:rPr>
        <w:t>展望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回顾2023年毕业生就业工作，学院在校党委、行政及相关职能部门的正确领导和精准部署下，虽然取得了一定的成绩，但</w:t>
      </w:r>
      <w:bookmarkStart w:id="82" w:name="_GoBack"/>
      <w:bookmarkEnd w:id="82"/>
      <w:r>
        <w:rPr>
          <w:rFonts w:hint="eastAsia"/>
          <w:sz w:val="24"/>
          <w:szCs w:val="24"/>
          <w:lang w:val="en-US" w:eastAsia="zh-CN"/>
        </w:rPr>
        <w:t>在一些方面仍存在一定的差距。面临整体就业形势依然严峻、人才供需结构性矛盾依然存在、部分学生就业意愿依然不强、整体就业质量依然不高等一系列问题，学院将主要围绕以下几个方面来进一步推进毕业生就业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  <w:t>5.1深入贯彻“三全育人”理念，把就业工作融入人才培养全过程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要不断</w:t>
      </w:r>
      <w:r>
        <w:rPr>
          <w:rFonts w:hint="default"/>
          <w:sz w:val="24"/>
          <w:szCs w:val="24"/>
          <w:lang w:val="en-US" w:eastAsia="zh-CN"/>
        </w:rPr>
        <w:t>提高人才培养质量，促进学生就业，不断把增强</w:t>
      </w:r>
      <w:r>
        <w:rPr>
          <w:rFonts w:hint="eastAsia"/>
          <w:sz w:val="24"/>
          <w:szCs w:val="24"/>
          <w:lang w:val="en-US" w:eastAsia="zh-CN"/>
        </w:rPr>
        <w:t>就业意识与职业规划能力 、创新创业能力、就业核心竞争力</w:t>
      </w:r>
      <w:r>
        <w:rPr>
          <w:rFonts w:hint="default"/>
          <w:sz w:val="24"/>
          <w:szCs w:val="24"/>
          <w:lang w:val="en-US" w:eastAsia="zh-CN"/>
        </w:rPr>
        <w:t>深入融</w:t>
      </w:r>
      <w:r>
        <w:rPr>
          <w:rFonts w:hint="eastAsia"/>
          <w:sz w:val="24"/>
          <w:szCs w:val="24"/>
          <w:lang w:val="en-US" w:eastAsia="zh-CN"/>
        </w:rPr>
        <w:t>入人才培养全过程</w:t>
      </w:r>
      <w:r>
        <w:rPr>
          <w:rFonts w:hint="default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  <w:t>5.2结合专业学科特点，加大访企拓岗</w:t>
      </w:r>
      <w:r>
        <w:rPr>
          <w:rFonts w:hint="default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  <w:t>促就业</w:t>
      </w:r>
      <w:r>
        <w:rPr>
          <w:rFonts w:hint="eastAsia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  <w:t>工作力度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要结合专业学科发展，将</w:t>
      </w:r>
      <w:r>
        <w:rPr>
          <w:rFonts w:hint="default"/>
          <w:sz w:val="24"/>
          <w:szCs w:val="24"/>
          <w:lang w:val="en-US" w:eastAsia="zh-CN"/>
        </w:rPr>
        <w:t>产业需求侧和</w:t>
      </w:r>
      <w:r>
        <w:rPr>
          <w:rFonts w:hint="eastAsia"/>
          <w:sz w:val="24"/>
          <w:szCs w:val="24"/>
          <w:lang w:val="en-US" w:eastAsia="zh-CN"/>
        </w:rPr>
        <w:t>人才</w:t>
      </w:r>
      <w:r>
        <w:rPr>
          <w:rFonts w:hint="default"/>
          <w:sz w:val="24"/>
          <w:szCs w:val="24"/>
          <w:lang w:val="en-US" w:eastAsia="zh-CN"/>
        </w:rPr>
        <w:t>供给侧</w:t>
      </w:r>
      <w:r>
        <w:rPr>
          <w:rFonts w:hint="eastAsia"/>
          <w:sz w:val="24"/>
          <w:szCs w:val="24"/>
          <w:lang w:val="en-US" w:eastAsia="zh-CN"/>
        </w:rPr>
        <w:t>紧密结合，加大访企拓岗</w:t>
      </w:r>
      <w:r>
        <w:rPr>
          <w:rFonts w:hint="default"/>
          <w:sz w:val="24"/>
          <w:szCs w:val="24"/>
          <w:lang w:val="en-US" w:eastAsia="zh-CN"/>
        </w:rPr>
        <w:t>促就业活动力度,进一步深化校企合作,精准开展岗位挖掘,</w:t>
      </w:r>
      <w:r>
        <w:rPr>
          <w:rFonts w:hint="eastAsia"/>
          <w:sz w:val="24"/>
          <w:szCs w:val="24"/>
          <w:lang w:val="en-US" w:eastAsia="zh-CN"/>
        </w:rPr>
        <w:t>把企业作为人才培养的“出题人”，学院作为“解题人”，走校企协同发展的新道路。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  <w:t>5.3引进激励机制，进一步完善就业创业指导工作制度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要将就业工作纳入学院年终考核与绩效分配体系，适当引进奖惩机制，进一步完善就业创业指导工作制度，抓紧、抓实、抓细各项就业</w:t>
      </w:r>
      <w:r>
        <w:rPr>
          <w:rFonts w:hint="default"/>
          <w:sz w:val="24"/>
          <w:szCs w:val="24"/>
          <w:lang w:val="en-US" w:eastAsia="zh-CN"/>
        </w:rPr>
        <w:t>工作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  <w:t>5.4以“互联网+”“挑战杯”等双创赛事为抓手,促进学生的创新创业能力培养。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度重视创新创业教育，以“挑战杯”“互联网+”等龙头赛事为重要抓手，以赛促建、促教、促创。设立创新创业专项工作经费，制定竞赛奖励办法，加强绩效管理，持续加大对各类竞赛的组织、实施、激励和保障，激发学生参与创新创业的热情，锤炼学生品格，促进创新创业教育与思想政治教育、专业教育深度融合，助力应用型人才培养质量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kern w:val="2"/>
          <w:sz w:val="24"/>
          <w:szCs w:val="24"/>
          <w:lang w:val="en-US" w:eastAsia="zh-CN"/>
        </w:rPr>
        <w:t>5.5以考研升学为渠道，助力毕业生高质量就业。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/>
          <w:sz w:val="24"/>
          <w:szCs w:val="24"/>
          <w:lang w:val="en-US" w:eastAsia="zh-CN"/>
        </w:rPr>
        <w:t>高度重视毕业生就业工作，坚持以党建为引领，紧盯学校量化指标，落实立德树人的根本任务，将考研升学作为提升毕业生就业质量的重要抓手。建构学院考研工作机制，营造学院考研文化，突出抓好考研意识培育、备考复试、录取调剂三个环节，对考研学生群体实施党支部、专业、年级、班级、寝室等网格化帮扶制度，制定考研计划、检查评估考研成效和总结考研经验，使学院考研工作不断取得新突破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6FC23C"/>
    <w:multiLevelType w:val="singleLevel"/>
    <w:tmpl w:val="7B6FC23C"/>
    <w:lvl w:ilvl="0" w:tentative="0">
      <w:start w:val="2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5YjliMWRjYTc2MTdkMTU0NjMzYzYzNWQxYzk2N2MifQ=="/>
  </w:docVars>
  <w:rsids>
    <w:rsidRoot w:val="63C849CD"/>
    <w:rsid w:val="0009082E"/>
    <w:rsid w:val="00097BA8"/>
    <w:rsid w:val="000A3927"/>
    <w:rsid w:val="000F08D8"/>
    <w:rsid w:val="001963D9"/>
    <w:rsid w:val="00217BD9"/>
    <w:rsid w:val="0024717E"/>
    <w:rsid w:val="002C3A64"/>
    <w:rsid w:val="002F4811"/>
    <w:rsid w:val="003337E8"/>
    <w:rsid w:val="0035786A"/>
    <w:rsid w:val="00386308"/>
    <w:rsid w:val="003C6C63"/>
    <w:rsid w:val="00456C81"/>
    <w:rsid w:val="00483CAE"/>
    <w:rsid w:val="004D4225"/>
    <w:rsid w:val="004E627B"/>
    <w:rsid w:val="00522AA4"/>
    <w:rsid w:val="00527827"/>
    <w:rsid w:val="0053389B"/>
    <w:rsid w:val="00542E57"/>
    <w:rsid w:val="00545945"/>
    <w:rsid w:val="00556FB8"/>
    <w:rsid w:val="005C4032"/>
    <w:rsid w:val="00627749"/>
    <w:rsid w:val="006A2310"/>
    <w:rsid w:val="00712993"/>
    <w:rsid w:val="00773A27"/>
    <w:rsid w:val="00804F0B"/>
    <w:rsid w:val="00842270"/>
    <w:rsid w:val="00856C70"/>
    <w:rsid w:val="008673D3"/>
    <w:rsid w:val="00896445"/>
    <w:rsid w:val="008B0CF5"/>
    <w:rsid w:val="008E23CC"/>
    <w:rsid w:val="008E7A4B"/>
    <w:rsid w:val="009A22D4"/>
    <w:rsid w:val="00A75391"/>
    <w:rsid w:val="00AA0E44"/>
    <w:rsid w:val="00B26CBB"/>
    <w:rsid w:val="00B863F7"/>
    <w:rsid w:val="00BE3656"/>
    <w:rsid w:val="00CD5579"/>
    <w:rsid w:val="00CD6A2C"/>
    <w:rsid w:val="00CE160F"/>
    <w:rsid w:val="00DE6294"/>
    <w:rsid w:val="00E02683"/>
    <w:rsid w:val="00E14ABF"/>
    <w:rsid w:val="00E15C69"/>
    <w:rsid w:val="00E219A4"/>
    <w:rsid w:val="00E33247"/>
    <w:rsid w:val="00E7466C"/>
    <w:rsid w:val="00EA3FBE"/>
    <w:rsid w:val="00EC0222"/>
    <w:rsid w:val="00EC16AC"/>
    <w:rsid w:val="00EC2981"/>
    <w:rsid w:val="00F40650"/>
    <w:rsid w:val="00F74EE7"/>
    <w:rsid w:val="035508BA"/>
    <w:rsid w:val="0AE87212"/>
    <w:rsid w:val="0B73117E"/>
    <w:rsid w:val="0F1115F7"/>
    <w:rsid w:val="138B58D9"/>
    <w:rsid w:val="152B6BEE"/>
    <w:rsid w:val="15514E1F"/>
    <w:rsid w:val="167D3909"/>
    <w:rsid w:val="1ADF765B"/>
    <w:rsid w:val="1CD577ED"/>
    <w:rsid w:val="1EB86670"/>
    <w:rsid w:val="21975DD9"/>
    <w:rsid w:val="23752ABE"/>
    <w:rsid w:val="26993B5C"/>
    <w:rsid w:val="26BA5127"/>
    <w:rsid w:val="2744333F"/>
    <w:rsid w:val="27826EE1"/>
    <w:rsid w:val="289419D1"/>
    <w:rsid w:val="29AB5B48"/>
    <w:rsid w:val="2ACC2A6F"/>
    <w:rsid w:val="2C5321FB"/>
    <w:rsid w:val="2CA63D4B"/>
    <w:rsid w:val="2E9D1EEA"/>
    <w:rsid w:val="302934F6"/>
    <w:rsid w:val="336778B2"/>
    <w:rsid w:val="341B1CD8"/>
    <w:rsid w:val="36D8293D"/>
    <w:rsid w:val="38D96D07"/>
    <w:rsid w:val="3D270383"/>
    <w:rsid w:val="3F6F5CA4"/>
    <w:rsid w:val="4010353A"/>
    <w:rsid w:val="408D0011"/>
    <w:rsid w:val="41BD16D0"/>
    <w:rsid w:val="41CF5C94"/>
    <w:rsid w:val="47A44DBB"/>
    <w:rsid w:val="47BE7360"/>
    <w:rsid w:val="49A3380F"/>
    <w:rsid w:val="4AE352F5"/>
    <w:rsid w:val="4D090102"/>
    <w:rsid w:val="500870D0"/>
    <w:rsid w:val="522176C9"/>
    <w:rsid w:val="53F419C5"/>
    <w:rsid w:val="55D10264"/>
    <w:rsid w:val="56F6102B"/>
    <w:rsid w:val="5E4C60DD"/>
    <w:rsid w:val="5E5000BB"/>
    <w:rsid w:val="62CF0303"/>
    <w:rsid w:val="63C849CD"/>
    <w:rsid w:val="63FB3396"/>
    <w:rsid w:val="67512573"/>
    <w:rsid w:val="68EB309A"/>
    <w:rsid w:val="69A36FDC"/>
    <w:rsid w:val="6C8929D6"/>
    <w:rsid w:val="6CCD6A2B"/>
    <w:rsid w:val="6CE23692"/>
    <w:rsid w:val="6D7A75E2"/>
    <w:rsid w:val="6E3076DD"/>
    <w:rsid w:val="6EEE4604"/>
    <w:rsid w:val="724877E2"/>
    <w:rsid w:val="73897460"/>
    <w:rsid w:val="73B36255"/>
    <w:rsid w:val="77C31E9C"/>
    <w:rsid w:val="7926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</w:rPr>
  </w:style>
  <w:style w:type="paragraph" w:styleId="2">
    <w:name w:val="heading 1"/>
    <w:basedOn w:val="1"/>
    <w:link w:val="23"/>
    <w:qFormat/>
    <w:uiPriority w:val="99"/>
    <w:pPr>
      <w:spacing w:before="340" w:beforeAutospacing="0" w:after="330" w:afterAutospacing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qFormat/>
    <w:uiPriority w:val="99"/>
    <w:pPr>
      <w:spacing w:beforeAutospacing="0" w:afterAutospacing="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4">
    <w:name w:val="heading 3"/>
    <w:basedOn w:val="1"/>
    <w:qFormat/>
    <w:uiPriority w:val="9"/>
    <w:pPr>
      <w:spacing w:before="260" w:beforeAutospacing="0" w:after="260" w:afterAutospacing="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qFormat/>
    <w:uiPriority w:val="0"/>
    <w:pPr>
      <w:ind w:left="840" w:leftChars="400"/>
    </w:p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qFormat/>
    <w:uiPriority w:val="0"/>
  </w:style>
  <w:style w:type="paragraph" w:styleId="9">
    <w:name w:val="toc 2"/>
    <w:basedOn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table" w:customStyle="1" w:styleId="15">
    <w:name w:val="网格表 3 - 着色 61"/>
    <w:basedOn w:val="11"/>
    <w:qFormat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</w:style>
  <w:style w:type="table" w:customStyle="1" w:styleId="16">
    <w:name w:val="网格表 6 彩色 - 着色 61"/>
    <w:basedOn w:val="11"/>
    <w:qFormat/>
    <w:uiPriority w:val="51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</w:style>
  <w:style w:type="paragraph" w:customStyle="1" w:styleId="17">
    <w:name w:val="_Style 3"/>
    <w:basedOn w:val="1"/>
    <w:qFormat/>
    <w:uiPriority w:val="0"/>
    <w:pPr>
      <w:ind w:firstLine="420" w:firstLineChars="200"/>
    </w:pPr>
  </w:style>
  <w:style w:type="paragraph" w:customStyle="1" w:styleId="18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9">
    <w:name w:val="页脚 字符"/>
    <w:basedOn w:val="13"/>
    <w:link w:val="6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WPSOffice手动目录 1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页眉 字符"/>
    <w:basedOn w:val="13"/>
    <w:link w:val="7"/>
    <w:qFormat/>
    <w:uiPriority w:val="0"/>
    <w:rPr>
      <w:kern w:val="2"/>
      <w:sz w:val="18"/>
      <w:szCs w:val="18"/>
    </w:rPr>
  </w:style>
  <w:style w:type="character" w:customStyle="1" w:styleId="23">
    <w:name w:val="标题 1 字符"/>
    <w:link w:val="2"/>
    <w:qFormat/>
    <w:uiPriority w:val="99"/>
    <w:rPr>
      <w:b/>
      <w:bCs/>
      <w:kern w:val="44"/>
      <w:sz w:val="44"/>
      <w:szCs w:val="44"/>
    </w:rPr>
  </w:style>
  <w:style w:type="paragraph" w:customStyle="1" w:styleId="2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5">
    <w:name w:val="列出段落1"/>
    <w:basedOn w:val="1"/>
    <w:qFormat/>
    <w:uiPriority w:val="0"/>
    <w:pPr>
      <w:ind w:firstLine="420" w:firstLineChars="200"/>
    </w:pPr>
  </w:style>
  <w:style w:type="table" w:customStyle="1" w:styleId="26">
    <w:name w:val="Grid Table 4 Accent 5"/>
    <w:basedOn w:val="11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hart" Target="charts/chart18.xml"/><Relationship Id="rId21" Type="http://schemas.openxmlformats.org/officeDocument/2006/relationships/chart" Target="charts/chart17.xml"/><Relationship Id="rId20" Type="http://schemas.openxmlformats.org/officeDocument/2006/relationships/chart" Target="charts/chart16.xml"/><Relationship Id="rId2" Type="http://schemas.openxmlformats.org/officeDocument/2006/relationships/settings" Target="settings.xml"/><Relationship Id="rId19" Type="http://schemas.openxmlformats.org/officeDocument/2006/relationships/chart" Target="charts/chart15.xml"/><Relationship Id="rId18" Type="http://schemas.openxmlformats.org/officeDocument/2006/relationships/chart" Target="charts/chart14.xml"/><Relationship Id="rId17" Type="http://schemas.openxmlformats.org/officeDocument/2006/relationships/chart" Target="charts/chart13.xml"/><Relationship Id="rId16" Type="http://schemas.openxmlformats.org/officeDocument/2006/relationships/chart" Target="charts/chart12.xml"/><Relationship Id="rId15" Type="http://schemas.openxmlformats.org/officeDocument/2006/relationships/chart" Target="charts/chart11.xml"/><Relationship Id="rId14" Type="http://schemas.openxmlformats.org/officeDocument/2006/relationships/chart" Target="charts/chart10.xml"/><Relationship Id="rId13" Type="http://schemas.openxmlformats.org/officeDocument/2006/relationships/chart" Target="charts/chart9.xml"/><Relationship Id="rId12" Type="http://schemas.openxmlformats.org/officeDocument/2006/relationships/chart" Target="charts/chart8.xml"/><Relationship Id="rId11" Type="http://schemas.openxmlformats.org/officeDocument/2006/relationships/chart" Target="charts/chart7.xml"/><Relationship Id="rId10" Type="http://schemas.openxmlformats.org/officeDocument/2006/relationships/chart" Target="charts/chart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D:\&#26700;&#38754;\&#34920;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package" Target="../embeddings/Workbook2.xlsx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ColorStyle" Target="colors11.xml"/><Relationship Id="rId2" Type="http://schemas.microsoft.com/office/2011/relationships/chartStyle" Target="style11.xml"/><Relationship Id="rId1" Type="http://schemas.openxmlformats.org/officeDocument/2006/relationships/package" Target="../embeddings/Workbook4.xlsx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ColorStyle" Target="colors12.xml"/><Relationship Id="rId2" Type="http://schemas.microsoft.com/office/2011/relationships/chartStyle" Target="style12.xml"/><Relationship Id="rId1" Type="http://schemas.openxmlformats.org/officeDocument/2006/relationships/package" Target="../embeddings/Workbook5.xlsx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ColorStyle" Target="colors13.xml"/><Relationship Id="rId2" Type="http://schemas.microsoft.com/office/2011/relationships/chartStyle" Target="style13.xml"/><Relationship Id="rId1" Type="http://schemas.openxmlformats.org/officeDocument/2006/relationships/package" Target="../embeddings/Workbook6.xlsx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ColorStyle" Target="colors14.xml"/><Relationship Id="rId2" Type="http://schemas.microsoft.com/office/2011/relationships/chartStyle" Target="style14.xml"/><Relationship Id="rId1" Type="http://schemas.openxmlformats.org/officeDocument/2006/relationships/package" Target="../embeddings/Workbook7.xlsx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ColorStyle" Target="colors15.xml"/><Relationship Id="rId2" Type="http://schemas.microsoft.com/office/2011/relationships/chartStyle" Target="style15.xml"/><Relationship Id="rId1" Type="http://schemas.openxmlformats.org/officeDocument/2006/relationships/package" Target="../embeddings/Workbook8.xlsx"/></Relationships>
</file>

<file path=word/charts/_rels/chart16.xml.rels><?xml version="1.0" encoding="UTF-8" standalone="yes"?>
<Relationships xmlns="http://schemas.openxmlformats.org/package/2006/relationships"><Relationship Id="rId3" Type="http://schemas.microsoft.com/office/2011/relationships/chartColorStyle" Target="colors16.xml"/><Relationship Id="rId2" Type="http://schemas.microsoft.com/office/2011/relationships/chartStyle" Target="style16.xml"/><Relationship Id="rId1" Type="http://schemas.openxmlformats.org/officeDocument/2006/relationships/oleObject" Target="NULL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microsoft.com/office/2011/relationships/chartColorStyle" Target="colors17.xml"/><Relationship Id="rId2" Type="http://schemas.microsoft.com/office/2011/relationships/chartStyle" Target="style17.xml"/><Relationship Id="rId1" Type="http://schemas.openxmlformats.org/officeDocument/2006/relationships/oleObject" Target="NULL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microsoft.com/office/2011/relationships/chartColorStyle" Target="colors18.xml"/><Relationship Id="rId2" Type="http://schemas.microsoft.com/office/2011/relationships/chartStyle" Target="style18.xml"/><Relationship Id="rId1" Type="http://schemas.openxmlformats.org/officeDocument/2006/relationships/package" Target="../embeddings/Workbook9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6700;&#38754;\&#3492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D:\&#26700;&#38754;\dc_sy_yx10531_17%20(1)\dc_sy_yx10531_17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D:\&#26700;&#38754;\&#34920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3901\AppData\Local\Temp\193d1717-f67d-4298-99d3-8783f6b63c07_dc_sy_yx10531_17%20(1).zip.c07\dc_sy_yx10531_17.xls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D:\&#26700;&#38754;\&#34920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file:///D:\&#26700;&#38754;\&#34920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package" Target="../embeddings/Workbook3.xlsx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性别构成</a:t>
            </a:r>
            <a:endParaRPr lang="zh-CN" altLang="en-US"/>
          </a:p>
        </c:rich>
      </c:tx>
      <c:layout>
        <c:manualLayout>
          <c:xMode val="edge"/>
          <c:yMode val="edge"/>
          <c:x val="0.413888888888889"/>
          <c:y val="0.03703703703703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0.00%" sourceLinked="0"/>
            <c:spPr>
              <a:solidFill>
                <a:sysClr val="window" lastClr="FFFFFF">
                  <a:alpha val="98000"/>
                </a:sys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Sheet1!$P$1:$P$3</c:f>
              <c:strCache>
                <c:ptCount val="3"/>
                <c:pt idx="0">
                  <c:v>性别构成</c:v>
                </c:pt>
                <c:pt idx="1">
                  <c:v>男</c:v>
                </c:pt>
                <c:pt idx="2">
                  <c:v>女</c:v>
                </c:pt>
              </c:strCache>
            </c:strRef>
          </c:cat>
          <c:val>
            <c:numRef>
              <c:f>Sheet1!$Q$1:$Q$3</c:f>
              <c:numCache>
                <c:formatCode>General</c:formatCode>
                <c:ptCount val="3"/>
                <c:pt idx="1">
                  <c:v>183</c:v>
                </c:pt>
                <c:pt idx="2">
                  <c:v>120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薪酬状况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0-1500</c:v>
                </c:pt>
                <c:pt idx="1">
                  <c:v>1500-3000</c:v>
                </c:pt>
                <c:pt idx="2">
                  <c:v>3000-5000</c:v>
                </c:pt>
                <c:pt idx="3">
                  <c:v>5000以上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9</c:v>
                </c:pt>
                <c:pt idx="2">
                  <c:v>33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6339519"/>
        <c:axId val="1285583759"/>
      </c:barChart>
      <c:lineChart>
        <c:grouping val="standard"/>
        <c:varyColors val="0"/>
        <c:ser>
          <c:idx val="2"/>
          <c:order val="1"/>
          <c:tx>
            <c:strRef>
              <c:f>Sheet1!$D$1</c:f>
              <c:strCache>
                <c:ptCount val="1"/>
                <c:pt idx="0">
                  <c:v>百分比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Sheet1!$A$2:$A$5</c:f>
              <c:strCache>
                <c:ptCount val="4"/>
                <c:pt idx="0">
                  <c:v>0-1500</c:v>
                </c:pt>
                <c:pt idx="1">
                  <c:v>1500-3000</c:v>
                </c:pt>
                <c:pt idx="2">
                  <c:v>3000-5000</c:v>
                </c:pt>
                <c:pt idx="3">
                  <c:v>5000以上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0</c:v>
                </c:pt>
                <c:pt idx="1">
                  <c:v>0.15</c:v>
                </c:pt>
                <c:pt idx="2">
                  <c:v>0.55</c:v>
                </c:pt>
                <c:pt idx="3">
                  <c:v>0.3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286334719"/>
        <c:axId val="1403387423"/>
      </c:lineChart>
      <c:catAx>
        <c:axId val="12863395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85583759"/>
        <c:crosses val="autoZero"/>
        <c:auto val="1"/>
        <c:lblAlgn val="ctr"/>
        <c:lblOffset val="100"/>
        <c:noMultiLvlLbl val="0"/>
      </c:catAx>
      <c:valAx>
        <c:axId val="12855837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86339519"/>
        <c:crosses val="autoZero"/>
        <c:crossBetween val="between"/>
      </c:valAx>
      <c:catAx>
        <c:axId val="1286334719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03387423"/>
        <c:crosses val="autoZero"/>
        <c:auto val="1"/>
        <c:lblAlgn val="ctr"/>
        <c:lblOffset val="100"/>
        <c:noMultiLvlLbl val="0"/>
      </c:catAx>
      <c:valAx>
        <c:axId val="1403387423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8633471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工作职位类别分布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办事人员和有关人员</c:v>
                </c:pt>
                <c:pt idx="1">
                  <c:v>教学人员</c:v>
                </c:pt>
                <c:pt idx="2">
                  <c:v>金融业务人员</c:v>
                </c:pt>
                <c:pt idx="3">
                  <c:v>其他人员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0.64</c:v>
                </c:pt>
                <c:pt idx="1">
                  <c:v>1.6</c:v>
                </c:pt>
                <c:pt idx="2">
                  <c:v>0.32</c:v>
                </c:pt>
                <c:pt idx="3">
                  <c:v>97.44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岗位匹配度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匹配</c:v>
                </c:pt>
                <c:pt idx="1">
                  <c:v>不匹配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168</c:v>
                </c:pt>
                <c:pt idx="1">
                  <c:v>144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8362687"/>
        <c:axId val="1282853535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比例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Sheet1!$A$2:$A$3</c:f>
              <c:strCache>
                <c:ptCount val="2"/>
                <c:pt idx="0">
                  <c:v>匹配</c:v>
                </c:pt>
                <c:pt idx="1">
                  <c:v>不匹配</c:v>
                </c:pt>
              </c:strCache>
            </c:strRef>
          </c:cat>
          <c:val>
            <c:numRef>
              <c:f>Sheet1!$C$2:$C$3</c:f>
              <c:numCache>
                <c:formatCode>0.00%</c:formatCode>
                <c:ptCount val="2"/>
                <c:pt idx="0">
                  <c:v>0.5385</c:v>
                </c:pt>
                <c:pt idx="1">
                  <c:v>0.4615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398372287"/>
        <c:axId val="1282835183"/>
      </c:lineChart>
      <c:catAx>
        <c:axId val="13983626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82853535"/>
        <c:crosses val="autoZero"/>
        <c:auto val="1"/>
        <c:lblAlgn val="ctr"/>
        <c:lblOffset val="100"/>
        <c:noMultiLvlLbl val="0"/>
      </c:catAx>
      <c:valAx>
        <c:axId val="1282853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98362687"/>
        <c:crosses val="autoZero"/>
        <c:crossBetween val="between"/>
      </c:valAx>
      <c:catAx>
        <c:axId val="139837228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82835183"/>
        <c:crosses val="autoZero"/>
        <c:auto val="1"/>
        <c:lblAlgn val="ctr"/>
        <c:lblOffset val="100"/>
        <c:noMultiLvlLbl val="0"/>
      </c:catAx>
      <c:valAx>
        <c:axId val="1282835183"/>
        <c:scaling>
          <c:orientation val="minMax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9837228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240</c:v>
                </c:pt>
                <c:pt idx="1">
                  <c:v>298</c:v>
                </c:pt>
                <c:pt idx="2">
                  <c:v>303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484048191"/>
        <c:axId val="1476471375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百分比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Sheet1!$C$2:$C$4</c:f>
              <c:numCache>
                <c:formatCode>0.00%</c:formatCode>
                <c:ptCount val="3"/>
                <c:pt idx="0">
                  <c:v>0.9158</c:v>
                </c:pt>
                <c:pt idx="1">
                  <c:v>0.9094</c:v>
                </c:pt>
                <c:pt idx="2">
                  <c:v>0.9375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299064111"/>
        <c:axId val="1622068991"/>
      </c:lineChart>
      <c:catAx>
        <c:axId val="1484048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76471375"/>
        <c:crosses val="autoZero"/>
        <c:auto val="1"/>
        <c:lblAlgn val="ctr"/>
        <c:lblOffset val="100"/>
        <c:noMultiLvlLbl val="0"/>
      </c:catAx>
      <c:valAx>
        <c:axId val="14764713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84048191"/>
        <c:crosses val="autoZero"/>
        <c:crossBetween val="between"/>
      </c:valAx>
      <c:catAx>
        <c:axId val="129906411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22068991"/>
        <c:crosses val="autoZero"/>
        <c:auto val="1"/>
        <c:lblAlgn val="ctr"/>
        <c:lblOffset val="100"/>
        <c:noMultiLvlLbl val="0"/>
      </c:catAx>
      <c:valAx>
        <c:axId val="1622068991"/>
        <c:scaling>
          <c:orientation val="minMax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99064111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研究生人数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12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本科生人数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240</c:v>
                </c:pt>
                <c:pt idx="1">
                  <c:v>298</c:v>
                </c:pt>
                <c:pt idx="2">
                  <c:v>303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6531951"/>
        <c:axId val="1290539215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研究生就业率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Sheet1!$D$2:$D$4</c:f>
              <c:numCache>
                <c:formatCode>0.00%</c:formatCode>
                <c:ptCount val="3"/>
                <c:pt idx="0">
                  <c:v>1</c:v>
                </c:pt>
                <c:pt idx="1">
                  <c:v>0.7777</c:v>
                </c:pt>
                <c:pt idx="2">
                  <c:v>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列本科生就业率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Sheet1!$E$2:$E$4</c:f>
              <c:numCache>
                <c:formatCode>0.00%</c:formatCode>
                <c:ptCount val="3"/>
                <c:pt idx="0">
                  <c:v>0.9158</c:v>
                </c:pt>
                <c:pt idx="1">
                  <c:v>0.9094</c:v>
                </c:pt>
                <c:pt idx="2">
                  <c:v>0.934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549511087"/>
        <c:axId val="1467742303"/>
      </c:lineChart>
      <c:catAx>
        <c:axId val="15495110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67742303"/>
        <c:crosses val="autoZero"/>
        <c:auto val="1"/>
        <c:lblAlgn val="ctr"/>
        <c:lblOffset val="100"/>
        <c:noMultiLvlLbl val="0"/>
      </c:catAx>
      <c:valAx>
        <c:axId val="14677423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49511087"/>
        <c:crosses val="autoZero"/>
        <c:crossBetween val="between"/>
      </c:valAx>
      <c:catAx>
        <c:axId val="163653195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90539215"/>
        <c:crosses val="autoZero"/>
        <c:auto val="1"/>
        <c:lblAlgn val="ctr"/>
        <c:lblOffset val="100"/>
        <c:noMultiLvlLbl val="0"/>
      </c:catAx>
      <c:valAx>
        <c:axId val="1290539215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36531951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土木工程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92.52</c:v>
                </c:pt>
                <c:pt idx="1">
                  <c:v>93.44</c:v>
                </c:pt>
                <c:pt idx="2">
                  <c:v>94.07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风景园林（园林）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88.33</c:v>
                </c:pt>
                <c:pt idx="1">
                  <c:v>83.33</c:v>
                </c:pt>
                <c:pt idx="2">
                  <c:v>92.31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城乡规划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0">
                  <c:v>84.62</c:v>
                </c:pt>
                <c:pt idx="1">
                  <c:v>97.44</c:v>
                </c:pt>
                <c:pt idx="2">
                  <c:v>90.24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建筑学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Sheet1!$E$2:$E$4</c:f>
              <c:numCache>
                <c:formatCode>General</c:formatCode>
                <c:ptCount val="3"/>
                <c:pt idx="0">
                  <c:v>0</c:v>
                </c:pt>
                <c:pt idx="1">
                  <c:v>87.5</c:v>
                </c:pt>
                <c:pt idx="2">
                  <c:v>83.33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自然地理与资源环境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Sheet1!$F$2:$F$4</c:f>
              <c:numCache>
                <c:formatCode>General</c:formatCode>
                <c:ptCount val="3"/>
                <c:pt idx="0">
                  <c:v>94.12</c:v>
                </c:pt>
                <c:pt idx="1">
                  <c:v>92.86</c:v>
                </c:pt>
                <c:pt idx="2">
                  <c:v>83.72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275678944"/>
        <c:axId val="2030960816"/>
      </c:barChart>
      <c:catAx>
        <c:axId val="275678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30960816"/>
        <c:crosses val="autoZero"/>
        <c:auto val="1"/>
        <c:lblAlgn val="ctr"/>
        <c:lblOffset val="100"/>
        <c:noMultiLvlLbl val="0"/>
      </c:catAx>
      <c:valAx>
        <c:axId val="2030960816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5678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Sheet1!$A$2:$A$13</c:f>
              <c:strCache>
                <c:ptCount val="12"/>
                <c:pt idx="0">
                  <c:v>部队</c:v>
                </c:pt>
                <c:pt idx="1">
                  <c:v>出国.出境</c:v>
                </c:pt>
                <c:pt idx="2">
                  <c:v>地方基层项目</c:v>
                </c:pt>
                <c:pt idx="3">
                  <c:v>国有企业</c:v>
                </c:pt>
                <c:pt idx="4">
                  <c:v>其他企业</c:v>
                </c:pt>
                <c:pt idx="5">
                  <c:v>机关</c:v>
                </c:pt>
                <c:pt idx="6">
                  <c:v>其他教学单位</c:v>
                </c:pt>
                <c:pt idx="7">
                  <c:v>其他事业单位</c:v>
                </c:pt>
                <c:pt idx="8">
                  <c:v>科研设计单位</c:v>
                </c:pt>
                <c:pt idx="9">
                  <c:v>农村建制村</c:v>
                </c:pt>
                <c:pt idx="10">
                  <c:v>升学</c:v>
                </c:pt>
                <c:pt idx="11">
                  <c:v>国家基层项目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1.6</c:v>
                </c:pt>
                <c:pt idx="1">
                  <c:v>0.5</c:v>
                </c:pt>
                <c:pt idx="2">
                  <c:v>3.5</c:v>
                </c:pt>
                <c:pt idx="3">
                  <c:v>21.8</c:v>
                </c:pt>
                <c:pt idx="4">
                  <c:v>37.2</c:v>
                </c:pt>
                <c:pt idx="5">
                  <c:v>1.1</c:v>
                </c:pt>
                <c:pt idx="6">
                  <c:v>0</c:v>
                </c:pt>
                <c:pt idx="7">
                  <c:v>3.8</c:v>
                </c:pt>
                <c:pt idx="8">
                  <c:v>1.1</c:v>
                </c:pt>
                <c:pt idx="9">
                  <c:v>0</c:v>
                </c:pt>
                <c:pt idx="10">
                  <c:v>31.9</c:v>
                </c:pt>
                <c:pt idx="11">
                  <c:v>1.1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Sheet1!$A$2:$A$13</c:f>
              <c:strCache>
                <c:ptCount val="12"/>
                <c:pt idx="0">
                  <c:v>部队</c:v>
                </c:pt>
                <c:pt idx="1">
                  <c:v>出国.出境</c:v>
                </c:pt>
                <c:pt idx="2">
                  <c:v>地方基层项目</c:v>
                </c:pt>
                <c:pt idx="3">
                  <c:v>国有企业</c:v>
                </c:pt>
                <c:pt idx="4">
                  <c:v>其他企业</c:v>
                </c:pt>
                <c:pt idx="5">
                  <c:v>机关</c:v>
                </c:pt>
                <c:pt idx="6">
                  <c:v>其他教学单位</c:v>
                </c:pt>
                <c:pt idx="7">
                  <c:v>其他事业单位</c:v>
                </c:pt>
                <c:pt idx="8">
                  <c:v>科研设计单位</c:v>
                </c:pt>
                <c:pt idx="9">
                  <c:v>农村建制村</c:v>
                </c:pt>
                <c:pt idx="10">
                  <c:v>升学</c:v>
                </c:pt>
                <c:pt idx="11">
                  <c:v>国家基层项目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1.6</c:v>
                </c:pt>
                <c:pt idx="1">
                  <c:v>0</c:v>
                </c:pt>
                <c:pt idx="2">
                  <c:v>0.5</c:v>
                </c:pt>
                <c:pt idx="3">
                  <c:v>41</c:v>
                </c:pt>
                <c:pt idx="4">
                  <c:v>26.6</c:v>
                </c:pt>
                <c:pt idx="5">
                  <c:v>3.2</c:v>
                </c:pt>
                <c:pt idx="6">
                  <c:v>0.5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24.5</c:v>
                </c:pt>
                <c:pt idx="11">
                  <c:v>2.1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Sheet1!$A$2:$A$13</c:f>
              <c:strCache>
                <c:ptCount val="12"/>
                <c:pt idx="0">
                  <c:v>部队</c:v>
                </c:pt>
                <c:pt idx="1">
                  <c:v>出国.出境</c:v>
                </c:pt>
                <c:pt idx="2">
                  <c:v>地方基层项目</c:v>
                </c:pt>
                <c:pt idx="3">
                  <c:v>国有企业</c:v>
                </c:pt>
                <c:pt idx="4">
                  <c:v>其他企业</c:v>
                </c:pt>
                <c:pt idx="5">
                  <c:v>机关</c:v>
                </c:pt>
                <c:pt idx="6">
                  <c:v>其他教学单位</c:v>
                </c:pt>
                <c:pt idx="7">
                  <c:v>其他事业单位</c:v>
                </c:pt>
                <c:pt idx="8">
                  <c:v>科研设计单位</c:v>
                </c:pt>
                <c:pt idx="9">
                  <c:v>农村建制村</c:v>
                </c:pt>
                <c:pt idx="10">
                  <c:v>升学</c:v>
                </c:pt>
                <c:pt idx="11">
                  <c:v>国家基层项目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0.5</c:v>
                </c:pt>
                <c:pt idx="1">
                  <c:v>0.9</c:v>
                </c:pt>
                <c:pt idx="2">
                  <c:v>0.5</c:v>
                </c:pt>
                <c:pt idx="3">
                  <c:v>33.5</c:v>
                </c:pt>
                <c:pt idx="4">
                  <c:v>29.4</c:v>
                </c:pt>
                <c:pt idx="5">
                  <c:v>4.5</c:v>
                </c:pt>
                <c:pt idx="6">
                  <c:v>0.5</c:v>
                </c:pt>
                <c:pt idx="7">
                  <c:v>1.4</c:v>
                </c:pt>
                <c:pt idx="8">
                  <c:v>0</c:v>
                </c:pt>
                <c:pt idx="9">
                  <c:v>0.5</c:v>
                </c:pt>
                <c:pt idx="10">
                  <c:v>27.1</c:v>
                </c:pt>
                <c:pt idx="11">
                  <c:v>1.8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907319184"/>
        <c:axId val="103193984"/>
      </c:lineChart>
      <c:catAx>
        <c:axId val="190731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3193984"/>
        <c:crosses val="autoZero"/>
        <c:auto val="1"/>
        <c:lblAlgn val="ctr"/>
        <c:lblOffset val="100"/>
        <c:noMultiLvlLbl val="0"/>
      </c:catAx>
      <c:valAx>
        <c:axId val="103193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0731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七大区域分布变化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华中地区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122</c:v>
                </c:pt>
                <c:pt idx="1">
                  <c:v>135</c:v>
                </c:pt>
                <c:pt idx="2">
                  <c:v>168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华北地区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15</c:v>
                </c:pt>
                <c:pt idx="1">
                  <c:v>13</c:v>
                </c:pt>
                <c:pt idx="2">
                  <c:v>17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华东地区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0">
                  <c:v>22</c:v>
                </c:pt>
                <c:pt idx="1">
                  <c:v>19</c:v>
                </c:pt>
                <c:pt idx="2">
                  <c:v>16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华南地区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Sheet1!$E$2:$E$4</c:f>
              <c:numCache>
                <c:formatCode>General</c:formatCode>
                <c:ptCount val="3"/>
                <c:pt idx="0">
                  <c:v>23</c:v>
                </c:pt>
                <c:pt idx="1">
                  <c:v>32</c:v>
                </c:pt>
                <c:pt idx="2">
                  <c:v>29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西北地区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Sheet1!$F$2:$F$4</c:f>
              <c:numCache>
                <c:formatCode>General</c:formatCode>
                <c:ptCount val="3"/>
                <c:pt idx="0">
                  <c:v>19</c:v>
                </c:pt>
                <c:pt idx="1">
                  <c:v>6</c:v>
                </c:pt>
                <c:pt idx="2">
                  <c:v>23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东北地区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Sheet1!$G$2:$G$4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西南地区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Sheet1!$H$2:$H$4</c:f>
              <c:numCache>
                <c:formatCode>General</c:formatCode>
                <c:ptCount val="3"/>
                <c:pt idx="0">
                  <c:v>17</c:v>
                </c:pt>
                <c:pt idx="1">
                  <c:v>15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1291104"/>
        <c:axId val="104176432"/>
      </c:barChart>
      <c:catAx>
        <c:axId val="11129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4176432"/>
        <c:crosses val="autoZero"/>
        <c:auto val="1"/>
        <c:lblAlgn val="ctr"/>
        <c:lblOffset val="100"/>
        <c:noMultiLvlLbl val="0"/>
      </c:catAx>
      <c:valAx>
        <c:axId val="10417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129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重点经济发达地区分布变化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珠三角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Sheet1!$B$2:$B$4</c:f>
              <c:numCache>
                <c:formatCode>0.00%</c:formatCode>
                <c:ptCount val="3"/>
                <c:pt idx="0">
                  <c:v>0.0783</c:v>
                </c:pt>
                <c:pt idx="1">
                  <c:v>0.0849</c:v>
                </c:pt>
                <c:pt idx="2">
                  <c:v>0.0886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长三角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Sheet1!$C$2:$C$4</c:f>
              <c:numCache>
                <c:formatCode>0.00%</c:formatCode>
                <c:ptCount val="3"/>
                <c:pt idx="0">
                  <c:v>0.0507</c:v>
                </c:pt>
                <c:pt idx="1">
                  <c:v>0.0554</c:v>
                </c:pt>
                <c:pt idx="2">
                  <c:v>0.0369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环渤海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Sheet1!$D$2:$D$4</c:f>
              <c:numCache>
                <c:formatCode>0.00%</c:formatCode>
                <c:ptCount val="3"/>
                <c:pt idx="0">
                  <c:v>0.0829</c:v>
                </c:pt>
                <c:pt idx="1">
                  <c:v>0.048</c:v>
                </c:pt>
                <c:pt idx="2">
                  <c:v>0.0923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5699104"/>
        <c:axId val="104168992"/>
      </c:barChart>
      <c:catAx>
        <c:axId val="275699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4168992"/>
        <c:crosses val="autoZero"/>
        <c:auto val="1"/>
        <c:lblAlgn val="ctr"/>
        <c:lblOffset val="100"/>
        <c:noMultiLvlLbl val="0"/>
      </c:catAx>
      <c:valAx>
        <c:axId val="104168992"/>
        <c:scaling>
          <c:orientation val="minMax"/>
          <c:max val="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5699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民族构成</a:t>
            </a:r>
            <a:endParaRPr 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3167273336481"/>
          <c:y val="0.153999831653696"/>
          <c:w val="0.843536674194795"/>
          <c:h val="0.77291942616761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Sheet1!$P$24:$P$39</c:f>
              <c:strCache>
                <c:ptCount val="16"/>
                <c:pt idx="0">
                  <c:v>白族</c:v>
                </c:pt>
                <c:pt idx="1">
                  <c:v>布依族</c:v>
                </c:pt>
                <c:pt idx="2">
                  <c:v>藏族</c:v>
                </c:pt>
                <c:pt idx="3">
                  <c:v>侗族</c:v>
                </c:pt>
                <c:pt idx="4">
                  <c:v>鄂温克族</c:v>
                </c:pt>
                <c:pt idx="5">
                  <c:v>汉族</c:v>
                </c:pt>
                <c:pt idx="6">
                  <c:v>回族</c:v>
                </c:pt>
                <c:pt idx="7">
                  <c:v>黎族</c:v>
                </c:pt>
                <c:pt idx="8">
                  <c:v>满族</c:v>
                </c:pt>
                <c:pt idx="9">
                  <c:v>蒙古族</c:v>
                </c:pt>
                <c:pt idx="10">
                  <c:v>苗族</c:v>
                </c:pt>
                <c:pt idx="11">
                  <c:v>土家族</c:v>
                </c:pt>
                <c:pt idx="12">
                  <c:v>维吾尔族</c:v>
                </c:pt>
                <c:pt idx="13">
                  <c:v>瑶族</c:v>
                </c:pt>
                <c:pt idx="14">
                  <c:v>壮族</c:v>
                </c:pt>
                <c:pt idx="15">
                  <c:v>土族</c:v>
                </c:pt>
              </c:strCache>
            </c:strRef>
          </c:cat>
          <c:val>
            <c:numRef>
              <c:f>Sheet1!$Q$24:$Q$39</c:f>
              <c:numCache>
                <c:formatCode>General</c:formatCode>
                <c:ptCount val="16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253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3</c:v>
                </c:pt>
                <c:pt idx="10">
                  <c:v>6</c:v>
                </c:pt>
                <c:pt idx="11">
                  <c:v>15</c:v>
                </c:pt>
                <c:pt idx="12">
                  <c:v>5</c:v>
                </c:pt>
                <c:pt idx="13">
                  <c:v>7</c:v>
                </c:pt>
                <c:pt idx="14">
                  <c:v>2</c:v>
                </c:pt>
                <c:pt idx="1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730213231"/>
        <c:axId val="1728261711"/>
      </c:barChart>
      <c:catAx>
        <c:axId val="17302132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28261711"/>
        <c:crosses val="autoZero"/>
        <c:auto val="1"/>
        <c:lblAlgn val="ctr"/>
        <c:lblOffset val="100"/>
        <c:noMultiLvlLbl val="0"/>
      </c:catAx>
      <c:valAx>
        <c:axId val="17282617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302132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defTabSz="914400">
              <a:defRPr lang="zh-CN"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生源构成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pie3D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</c:dPt>
          <c:dLbls>
            <c:dLbl>
              <c:idx val="0"/>
              <c:layout/>
              <c:numFmt formatCode="General" sourceLinked="1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472C4"/>
                  </a:solidFill>
                  <a:round/>
                </a:ln>
                <a:effectLst>
                  <a:outerShdw blurRad="50800" dist="38100" dir="2700000" algn="tl" rotWithShape="0">
                    <a:srgbClr val="4472C4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472C4"/>
                  </a:solidFill>
                  <a:round/>
                </a:ln>
                <a:effectLst>
                  <a:outerShdw blurRad="50800" dist="38100" dir="2700000" algn="tl" rotWithShape="0">
                    <a:srgbClr val="4472C4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472C4"/>
                </a:solidFill>
                <a:round/>
              </a:ln>
              <a:effectLst>
                <a:outerShdw blurRad="50800" dist="38100" dir="2700000" algn="tl" rotWithShape="0">
                  <a:srgbClr val="4472C4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Sheet1!$H$278:$H$279</c:f>
              <c:strCache>
                <c:ptCount val="2"/>
                <c:pt idx="0">
                  <c:v>湖南省</c:v>
                </c:pt>
                <c:pt idx="1">
                  <c:v>非湖南省</c:v>
                </c:pt>
              </c:strCache>
            </c:strRef>
          </c:cat>
          <c:val>
            <c:numRef>
              <c:f>Sheet1!$I$278:$I$279</c:f>
              <c:numCache>
                <c:formatCode>General</c:formatCode>
                <c:ptCount val="2"/>
                <c:pt idx="0">
                  <c:v>257</c:v>
                </c:pt>
                <c:pt idx="1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家庭困难类别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95303149606299"/>
          <c:y val="0.20354184893555"/>
          <c:w val="0.669030183727034"/>
          <c:h val="0.71220691163604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Sheet1!$AA$5:$AA$12</c:f>
              <c:strCache>
                <c:ptCount val="8"/>
                <c:pt idx="0">
                  <c:v>低保家庭</c:v>
                </c:pt>
                <c:pt idx="1">
                  <c:v>家庭经济困难</c:v>
                </c:pt>
                <c:pt idx="2">
                  <c:v>家庭困难和残疾</c:v>
                </c:pt>
                <c:pt idx="3">
                  <c:v>零就业家庭</c:v>
                </c:pt>
                <c:pt idx="4">
                  <c:v>身体残疾</c:v>
                </c:pt>
                <c:pt idx="5">
                  <c:v>脱贫家庭(原建档立卡)</c:v>
                </c:pt>
                <c:pt idx="6">
                  <c:v>重灾区</c:v>
                </c:pt>
                <c:pt idx="7">
                  <c:v>非困难生</c:v>
                </c:pt>
              </c:strCache>
            </c:strRef>
          </c:cat>
          <c:val>
            <c:numRef>
              <c:f>Sheet1!$AB$5:$AB$12</c:f>
              <c:numCache>
                <c:formatCode>General</c:formatCode>
                <c:ptCount val="8"/>
                <c:pt idx="0">
                  <c:v>9</c:v>
                </c:pt>
                <c:pt idx="1">
                  <c:v>7</c:v>
                </c:pt>
                <c:pt idx="2">
                  <c:v>4</c:v>
                </c:pt>
                <c:pt idx="3">
                  <c:v>4</c:v>
                </c:pt>
                <c:pt idx="4">
                  <c:v>1</c:v>
                </c:pt>
                <c:pt idx="5">
                  <c:v>24</c:v>
                </c:pt>
                <c:pt idx="6">
                  <c:v>1</c:v>
                </c:pt>
                <c:pt idx="7">
                  <c:v>253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565419583"/>
        <c:axId val="1723999343"/>
      </c:barChart>
      <c:catAx>
        <c:axId val="15654195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23999343"/>
        <c:crosses val="autoZero"/>
        <c:auto val="1"/>
        <c:lblAlgn val="ctr"/>
        <c:lblOffset val="100"/>
        <c:noMultiLvlLbl val="0"/>
      </c:catAx>
      <c:valAx>
        <c:axId val="17239993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654195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/>
              <a:t>毕业生专业分布</a:t>
            </a:r>
            <a:endParaRPr 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1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Sheet1!$H$2:$H$6</c:f>
              <c:strCache>
                <c:ptCount val="5"/>
                <c:pt idx="0">
                  <c:v>城乡规划</c:v>
                </c:pt>
                <c:pt idx="1">
                  <c:v>风景园林</c:v>
                </c:pt>
                <c:pt idx="2">
                  <c:v>建筑学</c:v>
                </c:pt>
                <c:pt idx="3">
                  <c:v>土木工程</c:v>
                </c:pt>
                <c:pt idx="4">
                  <c:v>自然地理与资源环境</c:v>
                </c:pt>
              </c:strCache>
            </c:strRef>
          </c:cat>
          <c:val>
            <c:numRef>
              <c:f>Sheet1!$I$2:$I$6</c:f>
              <c:numCache>
                <c:formatCode>General</c:formatCode>
                <c:ptCount val="5"/>
                <c:pt idx="0">
                  <c:v>41</c:v>
                </c:pt>
                <c:pt idx="1">
                  <c:v>65</c:v>
                </c:pt>
                <c:pt idx="2">
                  <c:v>36</c:v>
                </c:pt>
                <c:pt idx="3">
                  <c:v>118</c:v>
                </c:pt>
                <c:pt idx="4">
                  <c:v>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zh-CN"/>
              <a:t>就业形势</a:t>
            </a:r>
            <a:endParaRPr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pie3D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numFmt formatCode="General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Sheet1!$M$22:$M$29</c:f>
              <c:strCache>
                <c:ptCount val="8"/>
                <c:pt idx="0">
                  <c:v>待就业</c:v>
                </c:pt>
                <c:pt idx="1">
                  <c:v>其他录用形式就业</c:v>
                </c:pt>
                <c:pt idx="2">
                  <c:v>签劳动合同形式就业</c:v>
                </c:pt>
                <c:pt idx="3">
                  <c:v>研究生</c:v>
                </c:pt>
                <c:pt idx="4">
                  <c:v>签就业协议形式就业</c:v>
                </c:pt>
                <c:pt idx="5">
                  <c:v>应征义务兵</c:v>
                </c:pt>
                <c:pt idx="6">
                  <c:v>自由职业</c:v>
                </c:pt>
                <c:pt idx="7">
                  <c:v>地方基层项目</c:v>
                </c:pt>
              </c:strCache>
            </c:strRef>
          </c:cat>
          <c:val>
            <c:numRef>
              <c:f>Sheet1!$N$22:$N$29</c:f>
              <c:numCache>
                <c:formatCode>General</c:formatCode>
                <c:ptCount val="8"/>
                <c:pt idx="0">
                  <c:v>31</c:v>
                </c:pt>
                <c:pt idx="1">
                  <c:v>43</c:v>
                </c:pt>
                <c:pt idx="2">
                  <c:v>18</c:v>
                </c:pt>
                <c:pt idx="3">
                  <c:v>60</c:v>
                </c:pt>
                <c:pt idx="4">
                  <c:v>92</c:v>
                </c:pt>
                <c:pt idx="5">
                  <c:v>1</c:v>
                </c:pt>
                <c:pt idx="6">
                  <c:v>53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行业分布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Sheet1!$N$62:$N$80</c:f>
              <c:strCache>
                <c:ptCount val="19"/>
                <c:pt idx="0">
                  <c:v>军队</c:v>
                </c:pt>
                <c:pt idx="1">
                  <c:v>房地产业</c:v>
                </c:pt>
                <c:pt idx="2">
                  <c:v>公共管理、社会保障和社会组织</c:v>
                </c:pt>
                <c:pt idx="3">
                  <c:v>教育</c:v>
                </c:pt>
                <c:pt idx="4">
                  <c:v>建筑业</c:v>
                </c:pt>
                <c:pt idx="5">
                  <c:v>居民服务、修理和其他服务业</c:v>
                </c:pt>
                <c:pt idx="6">
                  <c:v>采矿业</c:v>
                </c:pt>
                <c:pt idx="7">
                  <c:v>电力、热力、燃气及水生产和供应业</c:v>
                </c:pt>
                <c:pt idx="8">
                  <c:v>金融业</c:v>
                </c:pt>
                <c:pt idx="9">
                  <c:v>交通运输、仓储和邮政业</c:v>
                </c:pt>
                <c:pt idx="10">
                  <c:v>科学研究和技术服务业</c:v>
                </c:pt>
                <c:pt idx="11">
                  <c:v>农、林、牧、渔业</c:v>
                </c:pt>
                <c:pt idx="12">
                  <c:v>批发和零售业</c:v>
                </c:pt>
                <c:pt idx="13">
                  <c:v>水利、环境和公共设施管理业</c:v>
                </c:pt>
                <c:pt idx="14">
                  <c:v>信息传输、软件和信息技术服务业</c:v>
                </c:pt>
                <c:pt idx="15">
                  <c:v>制造业</c:v>
                </c:pt>
                <c:pt idx="16">
                  <c:v>住宿和餐饮业</c:v>
                </c:pt>
                <c:pt idx="17">
                  <c:v>租赁和商务服务业</c:v>
                </c:pt>
                <c:pt idx="18">
                  <c:v>卫生和社会工作</c:v>
                </c:pt>
              </c:strCache>
            </c:strRef>
          </c:cat>
          <c:val>
            <c:numRef>
              <c:f>Sheet1!$O$62:$O$80</c:f>
              <c:numCache>
                <c:formatCode>General</c:formatCode>
                <c:ptCount val="19"/>
                <c:pt idx="0">
                  <c:v>1</c:v>
                </c:pt>
                <c:pt idx="1">
                  <c:v>1</c:v>
                </c:pt>
                <c:pt idx="2">
                  <c:v>10</c:v>
                </c:pt>
                <c:pt idx="3">
                  <c:v>5</c:v>
                </c:pt>
                <c:pt idx="4">
                  <c:v>90</c:v>
                </c:pt>
                <c:pt idx="5">
                  <c:v>5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20</c:v>
                </c:pt>
                <c:pt idx="11">
                  <c:v>10</c:v>
                </c:pt>
                <c:pt idx="12">
                  <c:v>4</c:v>
                </c:pt>
                <c:pt idx="13">
                  <c:v>1</c:v>
                </c:pt>
                <c:pt idx="14">
                  <c:v>3</c:v>
                </c:pt>
                <c:pt idx="15">
                  <c:v>6</c:v>
                </c:pt>
                <c:pt idx="16">
                  <c:v>2</c:v>
                </c:pt>
                <c:pt idx="17">
                  <c:v>4</c:v>
                </c:pt>
                <c:pt idx="1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73584863"/>
        <c:axId val="1633120783"/>
      </c:barChart>
      <c:catAx>
        <c:axId val="18735848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33120783"/>
        <c:crosses val="autoZero"/>
        <c:auto val="1"/>
        <c:lblAlgn val="ctr"/>
        <c:lblOffset val="100"/>
        <c:noMultiLvlLbl val="0"/>
      </c:catAx>
      <c:valAx>
        <c:axId val="16331207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73584863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流向区域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Sheet1!$A$2:$A$19</c:f>
              <c:strCache>
                <c:ptCount val="18"/>
                <c:pt idx="0">
                  <c:v>中铁城建集团有限公司</c:v>
                </c:pt>
                <c:pt idx="1">
                  <c:v>中铁株洲市桥梁有限公司</c:v>
                </c:pt>
                <c:pt idx="2">
                  <c:v>教育培训</c:v>
                </c:pt>
                <c:pt idx="3">
                  <c:v>西安建筑科技大学</c:v>
                </c:pt>
                <c:pt idx="4">
                  <c:v>昆明理工大学</c:v>
                </c:pt>
                <c:pt idx="5">
                  <c:v>桂林理工大学</c:v>
                </c:pt>
                <c:pt idx="6">
                  <c:v>中南大学</c:v>
                </c:pt>
                <c:pt idx="7">
                  <c:v>长沙理工大学</c:v>
                </c:pt>
                <c:pt idx="8">
                  <c:v>中南大学</c:v>
                </c:pt>
                <c:pt idx="9">
                  <c:v>福建工程学院</c:v>
                </c:pt>
                <c:pt idx="10">
                  <c:v>中南林业科技大学</c:v>
                </c:pt>
                <c:pt idx="11">
                  <c:v>中国海洋大学</c:v>
                </c:pt>
                <c:pt idx="12">
                  <c:v>澳门城市大学</c:v>
                </c:pt>
                <c:pt idx="13">
                  <c:v>吉首大学</c:v>
                </c:pt>
                <c:pt idx="14">
                  <c:v>湖南农业大学</c:v>
                </c:pt>
                <c:pt idx="15">
                  <c:v>华南农业大学</c:v>
                </c:pt>
                <c:pt idx="16">
                  <c:v>湘潭大学</c:v>
                </c:pt>
                <c:pt idx="17">
                  <c:v>三峡大学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11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就业流向区域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75"/>
      <c:rotY val="0"/>
      <c:depthPercent val="100"/>
      <c:rAngAx val="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人数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珠三角</c:v>
                </c:pt>
                <c:pt idx="1">
                  <c:v>长三角</c:v>
                </c:pt>
                <c:pt idx="2">
                  <c:v>环渤海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13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1746</Words>
  <Characters>9957</Characters>
  <Lines>82</Lines>
  <Paragraphs>23</Paragraphs>
  <TotalTime>6</TotalTime>
  <ScaleCrop>false</ScaleCrop>
  <LinksUpToDate>false</LinksUpToDate>
  <CharactersWithSpaces>11680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2022-12-18T09:13:00Z</dcterms:created>
  <dc:creator>32890</dc:creator>
  <cp:lastModifiedBy>Administrator</cp:lastModifiedBy>
  <dcterms:modified xsi:type="dcterms:W3CDTF">2024-01-03T07:46:12Z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5CFB68EB3B6A4A3EBD008F9316D2FA0D_13</vt:lpwstr>
  </property>
</Properties>
</file>